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F073A" w14:textId="7FA4E432" w:rsidR="0041698A" w:rsidRPr="00966C1A" w:rsidRDefault="0041698A" w:rsidP="00B958AB">
      <w:pPr>
        <w:pStyle w:val="Nagwek"/>
        <w:spacing w:before="240"/>
        <w:jc w:val="right"/>
        <w:rPr>
          <w:rFonts w:cs="Arial"/>
          <w:i w:val="0"/>
          <w:iCs/>
          <w:sz w:val="24"/>
          <w:szCs w:val="24"/>
        </w:rPr>
      </w:pPr>
      <w:r w:rsidRPr="00966C1A">
        <w:rPr>
          <w:rFonts w:cs="Arial"/>
          <w:i w:val="0"/>
          <w:iCs/>
          <w:sz w:val="24"/>
          <w:szCs w:val="24"/>
        </w:rPr>
        <w:t>Załącznik nr 2 do Regulaminu wyboru projektów</w:t>
      </w:r>
    </w:p>
    <w:p w14:paraId="75306F42" w14:textId="003FE724" w:rsidR="00684186" w:rsidRPr="00966C1A" w:rsidRDefault="00684186" w:rsidP="00F25883">
      <w:pPr>
        <w:spacing w:before="600" w:after="120" w:line="276" w:lineRule="auto"/>
        <w:rPr>
          <w:rFonts w:ascii="Arial" w:eastAsiaTheme="majorEastAsia" w:hAnsi="Arial" w:cs="Arial"/>
          <w:b/>
          <w:bCs/>
          <w:color w:val="0070C0"/>
          <w:sz w:val="36"/>
          <w:szCs w:val="36"/>
          <w:lang w:eastAsia="en-US"/>
        </w:rPr>
      </w:pPr>
      <w:r w:rsidRPr="00966C1A">
        <w:rPr>
          <w:rFonts w:ascii="Arial" w:hAnsi="Arial" w:cs="Arial"/>
          <w:b/>
          <w:bCs/>
          <w:color w:val="2E74B5" w:themeColor="accent5" w:themeShade="BF"/>
          <w:sz w:val="36"/>
          <w:szCs w:val="36"/>
        </w:rPr>
        <w:t xml:space="preserve">Wskaźniki realizacji </w:t>
      </w:r>
      <w:r w:rsidRPr="00966C1A">
        <w:rPr>
          <w:rFonts w:ascii="Arial" w:eastAsiaTheme="majorEastAsia" w:hAnsi="Arial" w:cs="Arial"/>
          <w:b/>
          <w:bCs/>
          <w:color w:val="0070C0"/>
          <w:sz w:val="36"/>
          <w:szCs w:val="36"/>
          <w:lang w:eastAsia="en-US"/>
        </w:rPr>
        <w:t>projektu</w:t>
      </w:r>
    </w:p>
    <w:p w14:paraId="5E293AB3" w14:textId="13C2DC0C" w:rsidR="00684186" w:rsidRPr="00966C1A" w:rsidRDefault="00684186" w:rsidP="00B958AB">
      <w:pPr>
        <w:autoSpaceDE w:val="0"/>
        <w:autoSpaceDN w:val="0"/>
        <w:adjustRightInd w:val="0"/>
        <w:spacing w:before="240" w:after="120" w:line="276" w:lineRule="auto"/>
        <w:jc w:val="both"/>
        <w:rPr>
          <w:rFonts w:ascii="Arial" w:hAnsi="Arial" w:cs="Arial"/>
          <w:b/>
          <w:bCs/>
          <w:noProof/>
          <w:color w:val="2E74B5" w:themeColor="accent5" w:themeShade="BF"/>
          <w:sz w:val="32"/>
          <w:szCs w:val="32"/>
        </w:rPr>
      </w:pPr>
      <w:r w:rsidRPr="00966C1A">
        <w:rPr>
          <w:rFonts w:ascii="Arial" w:hAnsi="Arial" w:cs="Arial"/>
          <w:b/>
          <w:bCs/>
          <w:noProof/>
          <w:color w:val="2E74B5" w:themeColor="accent5" w:themeShade="BF"/>
          <w:sz w:val="32"/>
          <w:szCs w:val="32"/>
        </w:rPr>
        <w:t>Wskaźniki dla działania 08.2</w:t>
      </w:r>
      <w:r w:rsidR="00A60941" w:rsidRPr="00966C1A">
        <w:rPr>
          <w:rFonts w:ascii="Arial" w:hAnsi="Arial" w:cs="Arial"/>
          <w:b/>
          <w:bCs/>
          <w:noProof/>
          <w:color w:val="2E74B5" w:themeColor="accent5" w:themeShade="BF"/>
          <w:sz w:val="32"/>
          <w:szCs w:val="32"/>
        </w:rPr>
        <w:t>3</w:t>
      </w:r>
      <w:r w:rsidRPr="00966C1A">
        <w:rPr>
          <w:rFonts w:ascii="Arial" w:hAnsi="Arial" w:cs="Arial"/>
          <w:b/>
          <w:bCs/>
          <w:noProof/>
          <w:color w:val="2E74B5" w:themeColor="accent5" w:themeShade="BF"/>
          <w:sz w:val="32"/>
          <w:szCs w:val="32"/>
        </w:rPr>
        <w:t xml:space="preserve"> </w:t>
      </w:r>
      <w:r w:rsidR="00A60941" w:rsidRPr="00966C1A">
        <w:rPr>
          <w:rFonts w:ascii="Arial" w:hAnsi="Arial" w:cs="Arial"/>
          <w:b/>
          <w:bCs/>
          <w:noProof/>
          <w:color w:val="2E74B5" w:themeColor="accent5" w:themeShade="BF"/>
          <w:sz w:val="32"/>
          <w:szCs w:val="32"/>
        </w:rPr>
        <w:t>Wspieranie integracji obywateli państw trzecich</w:t>
      </w:r>
    </w:p>
    <w:p w14:paraId="58AD9DC3" w14:textId="4727E62F" w:rsidR="00420AF5" w:rsidRPr="00966C1A" w:rsidRDefault="00684186" w:rsidP="00B958AB">
      <w:pPr>
        <w:autoSpaceDE w:val="0"/>
        <w:autoSpaceDN w:val="0"/>
        <w:adjustRightInd w:val="0"/>
        <w:spacing w:before="240" w:after="120" w:line="276" w:lineRule="auto"/>
        <w:jc w:val="both"/>
        <w:rPr>
          <w:rFonts w:ascii="Arial" w:hAnsi="Arial" w:cs="Arial"/>
          <w:b/>
          <w:bCs/>
          <w:noProof/>
          <w:color w:val="2E74B5" w:themeColor="accent5" w:themeShade="BF"/>
          <w:sz w:val="32"/>
          <w:szCs w:val="32"/>
        </w:rPr>
      </w:pPr>
      <w:r w:rsidRPr="00966C1A">
        <w:rPr>
          <w:rFonts w:ascii="Arial" w:hAnsi="Arial" w:cs="Arial"/>
          <w:b/>
          <w:bCs/>
          <w:noProof/>
          <w:color w:val="2E74B5" w:themeColor="accent5" w:themeShade="BF"/>
          <w:sz w:val="32"/>
          <w:szCs w:val="32"/>
        </w:rPr>
        <w:t>Wskaźniki produktu</w:t>
      </w:r>
    </w:p>
    <w:tbl>
      <w:tblPr>
        <w:tblStyle w:val="Tabela-Siatka"/>
        <w:tblW w:w="0" w:type="auto"/>
        <w:tblLook w:val="04A0" w:firstRow="1" w:lastRow="0" w:firstColumn="1" w:lastColumn="0" w:noHBand="0" w:noVBand="1"/>
      </w:tblPr>
      <w:tblGrid>
        <w:gridCol w:w="555"/>
        <w:gridCol w:w="3031"/>
        <w:gridCol w:w="6474"/>
        <w:gridCol w:w="3934"/>
      </w:tblGrid>
      <w:tr w:rsidR="00035ED9" w:rsidRPr="00966C1A" w14:paraId="75BEE4E0" w14:textId="77777777" w:rsidTr="00C2599C">
        <w:trPr>
          <w:trHeight w:val="864"/>
          <w:tblHeader/>
        </w:trPr>
        <w:tc>
          <w:tcPr>
            <w:tcW w:w="555" w:type="dxa"/>
          </w:tcPr>
          <w:p w14:paraId="25106678" w14:textId="408B85A8" w:rsidR="00035ED9" w:rsidRPr="00966C1A" w:rsidRDefault="00035ED9" w:rsidP="00B958AB">
            <w:pPr>
              <w:autoSpaceDE w:val="0"/>
              <w:autoSpaceDN w:val="0"/>
              <w:adjustRightInd w:val="0"/>
              <w:spacing w:before="240" w:line="276" w:lineRule="auto"/>
              <w:jc w:val="both"/>
              <w:rPr>
                <w:rFonts w:ascii="Arial" w:hAnsi="Arial" w:cs="Arial"/>
                <w:b/>
                <w:bCs/>
                <w:noProof/>
                <w:sz w:val="24"/>
                <w:szCs w:val="24"/>
              </w:rPr>
            </w:pPr>
            <w:r w:rsidRPr="00966C1A">
              <w:rPr>
                <w:rFonts w:ascii="Arial" w:hAnsi="Arial" w:cs="Arial"/>
                <w:b/>
                <w:bCs/>
                <w:noProof/>
                <w:sz w:val="24"/>
                <w:szCs w:val="24"/>
              </w:rPr>
              <w:t>Nr</w:t>
            </w:r>
          </w:p>
        </w:tc>
        <w:tc>
          <w:tcPr>
            <w:tcW w:w="3031" w:type="dxa"/>
          </w:tcPr>
          <w:p w14:paraId="0137DF3E" w14:textId="3C33DE99" w:rsidR="00035ED9" w:rsidRPr="00966C1A" w:rsidRDefault="000844A8" w:rsidP="00B958AB">
            <w:pPr>
              <w:autoSpaceDE w:val="0"/>
              <w:autoSpaceDN w:val="0"/>
              <w:adjustRightInd w:val="0"/>
              <w:spacing w:before="240" w:line="276" w:lineRule="auto"/>
              <w:rPr>
                <w:rFonts w:ascii="Arial" w:hAnsi="Arial" w:cs="Arial"/>
                <w:b/>
                <w:bCs/>
                <w:noProof/>
                <w:sz w:val="24"/>
                <w:szCs w:val="24"/>
              </w:rPr>
            </w:pPr>
            <w:r w:rsidRPr="00966C1A">
              <w:rPr>
                <w:rFonts w:ascii="Arial" w:hAnsi="Arial" w:cs="Arial"/>
                <w:b/>
                <w:bCs/>
                <w:noProof/>
                <w:sz w:val="24"/>
                <w:szCs w:val="24"/>
              </w:rPr>
              <w:t>Kod i n</w:t>
            </w:r>
            <w:r w:rsidR="00035ED9" w:rsidRPr="00966C1A">
              <w:rPr>
                <w:rFonts w:ascii="Arial" w:hAnsi="Arial" w:cs="Arial"/>
                <w:b/>
                <w:bCs/>
                <w:noProof/>
                <w:sz w:val="24"/>
                <w:szCs w:val="24"/>
              </w:rPr>
              <w:t>azwa</w:t>
            </w:r>
          </w:p>
        </w:tc>
        <w:tc>
          <w:tcPr>
            <w:tcW w:w="6474" w:type="dxa"/>
          </w:tcPr>
          <w:p w14:paraId="577BF23D" w14:textId="14590FDF" w:rsidR="00035ED9" w:rsidRPr="00966C1A" w:rsidRDefault="00035ED9" w:rsidP="00B958AB">
            <w:pPr>
              <w:autoSpaceDE w:val="0"/>
              <w:autoSpaceDN w:val="0"/>
              <w:adjustRightInd w:val="0"/>
              <w:spacing w:before="240" w:line="276" w:lineRule="auto"/>
              <w:rPr>
                <w:rFonts w:ascii="Arial" w:hAnsi="Arial" w:cs="Arial"/>
                <w:b/>
                <w:bCs/>
                <w:noProof/>
                <w:sz w:val="24"/>
                <w:szCs w:val="24"/>
              </w:rPr>
            </w:pPr>
            <w:r w:rsidRPr="00966C1A">
              <w:rPr>
                <w:rFonts w:ascii="Arial" w:hAnsi="Arial" w:cs="Arial"/>
                <w:b/>
                <w:bCs/>
                <w:noProof/>
                <w:sz w:val="24"/>
                <w:szCs w:val="24"/>
              </w:rPr>
              <w:t>Definicja</w:t>
            </w:r>
          </w:p>
        </w:tc>
        <w:tc>
          <w:tcPr>
            <w:tcW w:w="3934" w:type="dxa"/>
          </w:tcPr>
          <w:p w14:paraId="4908E826" w14:textId="1314252A" w:rsidR="00035ED9" w:rsidRPr="00966C1A" w:rsidRDefault="00035ED9" w:rsidP="00B958AB">
            <w:pPr>
              <w:autoSpaceDE w:val="0"/>
              <w:autoSpaceDN w:val="0"/>
              <w:adjustRightInd w:val="0"/>
              <w:spacing w:before="240" w:line="276" w:lineRule="auto"/>
              <w:rPr>
                <w:rFonts w:ascii="Arial" w:hAnsi="Arial" w:cs="Arial"/>
                <w:b/>
                <w:bCs/>
                <w:noProof/>
                <w:sz w:val="24"/>
                <w:szCs w:val="24"/>
              </w:rPr>
            </w:pPr>
            <w:r w:rsidRPr="00966C1A">
              <w:rPr>
                <w:rFonts w:ascii="Arial" w:hAnsi="Arial" w:cs="Arial"/>
                <w:b/>
                <w:bCs/>
                <w:noProof/>
                <w:sz w:val="24"/>
                <w:szCs w:val="24"/>
              </w:rPr>
              <w:t>Rekomendowane źródła danych do pomiaru wskaźników</w:t>
            </w:r>
            <w:r w:rsidR="00994AFA" w:rsidRPr="00966C1A">
              <w:rPr>
                <w:rFonts w:ascii="Arial" w:hAnsi="Arial" w:cs="Arial"/>
                <w:b/>
                <w:bCs/>
                <w:noProof/>
                <w:sz w:val="24"/>
                <w:szCs w:val="24"/>
              </w:rPr>
              <w:t xml:space="preserve"> i moment pomiaru</w:t>
            </w:r>
          </w:p>
        </w:tc>
      </w:tr>
      <w:tr w:rsidR="00593837" w:rsidRPr="00966C1A" w14:paraId="1A0F3897" w14:textId="77777777" w:rsidTr="00486A58">
        <w:tc>
          <w:tcPr>
            <w:tcW w:w="555" w:type="dxa"/>
          </w:tcPr>
          <w:p w14:paraId="671CEEFC" w14:textId="44936C9C" w:rsidR="00593837" w:rsidRPr="00966C1A" w:rsidRDefault="00593837" w:rsidP="00593837">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1</w:t>
            </w:r>
          </w:p>
        </w:tc>
        <w:tc>
          <w:tcPr>
            <w:tcW w:w="3031" w:type="dxa"/>
          </w:tcPr>
          <w:p w14:paraId="33A41C58" w14:textId="77777777" w:rsidR="00593837" w:rsidRPr="00966C1A" w:rsidRDefault="00A60941" w:rsidP="00593837">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WLWK-PLICO05</w:t>
            </w:r>
          </w:p>
          <w:p w14:paraId="5C0914E2" w14:textId="6D01997F" w:rsidR="00A60941" w:rsidRPr="00966C1A" w:rsidRDefault="00A60941" w:rsidP="00593837">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Liczba utworzonych Centrów Integracji Cudzoziemców</w:t>
            </w:r>
          </w:p>
        </w:tc>
        <w:tc>
          <w:tcPr>
            <w:tcW w:w="6474" w:type="dxa"/>
          </w:tcPr>
          <w:p w14:paraId="67721490" w14:textId="77777777" w:rsidR="00D80A84" w:rsidRPr="00966C1A" w:rsidRDefault="00D80A84" w:rsidP="00F25883">
            <w:pPr>
              <w:spacing w:before="60"/>
              <w:rPr>
                <w:rFonts w:ascii="Arial" w:hAnsi="Arial" w:cs="Arial"/>
                <w:sz w:val="24"/>
                <w:szCs w:val="24"/>
              </w:rPr>
            </w:pPr>
            <w:r w:rsidRPr="00966C1A">
              <w:rPr>
                <w:rFonts w:ascii="Arial" w:hAnsi="Arial" w:cs="Arial"/>
                <w:sz w:val="24"/>
                <w:szCs w:val="24"/>
              </w:rPr>
              <w:t>Wskaźnik odnosi się do liczby utworzonych ze środków EFS+ punktów zapewniających cudzoziemcom kompleksowe wsparcie integracyjne, w tym naukę języka, doradztwo, kursy adaptacyjne itp.</w:t>
            </w:r>
          </w:p>
          <w:p w14:paraId="63730C0C" w14:textId="2903A110" w:rsidR="00593837" w:rsidRPr="00966C1A" w:rsidRDefault="00593837" w:rsidP="00593837">
            <w:pPr>
              <w:autoSpaceDE w:val="0"/>
              <w:autoSpaceDN w:val="0"/>
              <w:adjustRightInd w:val="0"/>
              <w:spacing w:before="120" w:after="120" w:line="276" w:lineRule="auto"/>
              <w:rPr>
                <w:rFonts w:ascii="Arial" w:hAnsi="Arial" w:cs="Arial"/>
                <w:noProof/>
                <w:sz w:val="24"/>
                <w:szCs w:val="24"/>
              </w:rPr>
            </w:pPr>
          </w:p>
        </w:tc>
        <w:tc>
          <w:tcPr>
            <w:tcW w:w="3934" w:type="dxa"/>
          </w:tcPr>
          <w:p w14:paraId="7F0BAD3A" w14:textId="77777777" w:rsidR="00593837" w:rsidRPr="00966C1A" w:rsidRDefault="00966C1A" w:rsidP="00593837">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Źródła danych do pomiaru:</w:t>
            </w:r>
          </w:p>
          <w:p w14:paraId="3C555C9D" w14:textId="283437C9" w:rsidR="00D57A46" w:rsidRDefault="00966C1A" w:rsidP="00593837">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regulamin organizacyjny, statut, lub inny akt powołujacy CIC.</w:t>
            </w:r>
          </w:p>
          <w:p w14:paraId="4FA2226B" w14:textId="28218D57" w:rsidR="00D57A46" w:rsidRPr="00966C1A" w:rsidRDefault="00D57A46" w:rsidP="0059383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Moment pomiaru: w momencie utworzenia podmiotu.</w:t>
            </w:r>
          </w:p>
        </w:tc>
      </w:tr>
    </w:tbl>
    <w:p w14:paraId="6EECF80D" w14:textId="77777777" w:rsidR="008441BA" w:rsidRDefault="007D48B3" w:rsidP="008441BA">
      <w:pPr>
        <w:spacing w:before="240" w:after="240" w:line="276" w:lineRule="auto"/>
        <w:rPr>
          <w:rFonts w:ascii="Arial" w:hAnsi="Arial" w:cs="Arial"/>
          <w:b/>
          <w:bCs/>
          <w:noProof/>
          <w:color w:val="2E74B5" w:themeColor="accent5" w:themeShade="BF"/>
          <w:sz w:val="32"/>
          <w:szCs w:val="32"/>
        </w:rPr>
      </w:pPr>
      <w:bookmarkStart w:id="0" w:name="_Hlk135643168"/>
      <w:r w:rsidRPr="00966C1A">
        <w:rPr>
          <w:rFonts w:ascii="Arial" w:hAnsi="Arial" w:cs="Arial"/>
          <w:b/>
          <w:bCs/>
          <w:noProof/>
          <w:color w:val="2E74B5" w:themeColor="accent5" w:themeShade="BF"/>
          <w:sz w:val="32"/>
          <w:szCs w:val="32"/>
        </w:rPr>
        <w:br/>
      </w:r>
      <w:r w:rsidR="008441BA" w:rsidRPr="00E2171D">
        <w:rPr>
          <w:rFonts w:ascii="Arial" w:hAnsi="Arial" w:cs="Arial"/>
          <w:b/>
          <w:bCs/>
          <w:noProof/>
          <w:color w:val="2E74B5" w:themeColor="accent5" w:themeShade="BF"/>
          <w:sz w:val="32"/>
          <w:szCs w:val="32"/>
        </w:rPr>
        <w:t>Wskaźniki produktu</w:t>
      </w:r>
      <w:r w:rsidR="008441BA">
        <w:rPr>
          <w:rFonts w:ascii="Arial" w:hAnsi="Arial" w:cs="Arial"/>
          <w:b/>
          <w:bCs/>
          <w:noProof/>
          <w:color w:val="2E74B5" w:themeColor="accent5" w:themeShade="BF"/>
          <w:sz w:val="32"/>
          <w:szCs w:val="32"/>
        </w:rPr>
        <w:t xml:space="preserve"> własne </w:t>
      </w:r>
    </w:p>
    <w:p w14:paraId="711EF3C1" w14:textId="3E7EA44F" w:rsidR="008441BA" w:rsidRPr="00EB49D6" w:rsidRDefault="008441BA" w:rsidP="006F774C">
      <w:pPr>
        <w:spacing w:before="240" w:after="240" w:line="276" w:lineRule="auto"/>
        <w:rPr>
          <w:rFonts w:ascii="Arial" w:hAnsi="Arial" w:cs="Arial"/>
          <w:noProof/>
          <w:sz w:val="24"/>
          <w:szCs w:val="24"/>
        </w:rPr>
      </w:pPr>
      <w:r w:rsidRPr="00EB49D6">
        <w:rPr>
          <w:rFonts w:ascii="Arial" w:hAnsi="Arial" w:cs="Arial"/>
          <w:noProof/>
          <w:sz w:val="24"/>
          <w:szCs w:val="24"/>
        </w:rPr>
        <w:t>Zgodnie z kryterium C.7</w:t>
      </w:r>
      <w:r w:rsidR="00986B49">
        <w:rPr>
          <w:rFonts w:ascii="Arial" w:hAnsi="Arial" w:cs="Arial"/>
          <w:noProof/>
          <w:sz w:val="24"/>
          <w:szCs w:val="24"/>
        </w:rPr>
        <w:t xml:space="preserve">, w projekcie </w:t>
      </w:r>
      <w:r w:rsidRPr="00EB49D6">
        <w:rPr>
          <w:rFonts w:ascii="Arial" w:hAnsi="Arial" w:cs="Arial"/>
          <w:noProof/>
          <w:sz w:val="24"/>
          <w:szCs w:val="24"/>
        </w:rPr>
        <w:t xml:space="preserve">możliwe jest uczestnictwo otoczenia </w:t>
      </w:r>
      <w:r w:rsidR="00986B49">
        <w:rPr>
          <w:rFonts w:ascii="Arial" w:hAnsi="Arial" w:cs="Arial"/>
          <w:noProof/>
          <w:sz w:val="24"/>
          <w:szCs w:val="24"/>
        </w:rPr>
        <w:t>obywateli państw trzecich (OPT)</w:t>
      </w:r>
      <w:r w:rsidRPr="00EB49D6">
        <w:rPr>
          <w:rFonts w:ascii="Arial" w:hAnsi="Arial" w:cs="Arial"/>
          <w:noProof/>
          <w:sz w:val="24"/>
          <w:szCs w:val="24"/>
        </w:rPr>
        <w:t xml:space="preserve">, jeśli wymaga tego zakres wsparcia dla </w:t>
      </w:r>
      <w:r w:rsidR="00986B49">
        <w:rPr>
          <w:rFonts w:ascii="Arial" w:hAnsi="Arial" w:cs="Arial"/>
          <w:noProof/>
          <w:sz w:val="24"/>
          <w:szCs w:val="24"/>
        </w:rPr>
        <w:t>OPT</w:t>
      </w:r>
      <w:r w:rsidRPr="00EB49D6">
        <w:rPr>
          <w:rFonts w:ascii="Arial" w:hAnsi="Arial" w:cs="Arial"/>
          <w:noProof/>
          <w:sz w:val="24"/>
          <w:szCs w:val="24"/>
        </w:rPr>
        <w:t xml:space="preserve">. </w:t>
      </w:r>
      <w:r w:rsidR="00903B34" w:rsidRPr="00EB49D6">
        <w:rPr>
          <w:rFonts w:ascii="Arial" w:hAnsi="Arial" w:cs="Arial"/>
          <w:noProof/>
          <w:sz w:val="24"/>
          <w:szCs w:val="24"/>
        </w:rPr>
        <w:t xml:space="preserve">Przez otoczenie rozumie się społeczeństwo przyjmujące i jego instytucje. </w:t>
      </w:r>
      <w:r w:rsidRPr="00EB49D6">
        <w:rPr>
          <w:rFonts w:ascii="Arial" w:hAnsi="Arial" w:cs="Arial"/>
          <w:noProof/>
          <w:sz w:val="24"/>
          <w:szCs w:val="24"/>
        </w:rPr>
        <w:t xml:space="preserve">Na przykład, jeżeli w projekcie zaplanowano bezpośrednie wsparcie </w:t>
      </w:r>
      <w:r w:rsidR="00EC794D" w:rsidRPr="00EB49D6">
        <w:rPr>
          <w:rFonts w:ascii="Arial" w:hAnsi="Arial" w:cs="Arial"/>
          <w:noProof/>
          <w:sz w:val="24"/>
          <w:szCs w:val="24"/>
        </w:rPr>
        <w:t xml:space="preserve">pracowników administracji publicznej (np. urzędów pracy, ośrodków pomocy społecznej, </w:t>
      </w:r>
      <w:r w:rsidR="00EC794D" w:rsidRPr="00EB49D6">
        <w:rPr>
          <w:rFonts w:ascii="Arial" w:hAnsi="Arial" w:cs="Arial"/>
          <w:noProof/>
          <w:sz w:val="24"/>
          <w:szCs w:val="24"/>
        </w:rPr>
        <w:lastRenderedPageBreak/>
        <w:t>powiatowych centrów pomocy rodzinie it</w:t>
      </w:r>
      <w:r w:rsidR="00986B49">
        <w:rPr>
          <w:rFonts w:ascii="Arial" w:hAnsi="Arial" w:cs="Arial"/>
          <w:noProof/>
          <w:sz w:val="24"/>
          <w:szCs w:val="24"/>
        </w:rPr>
        <w:t>p</w:t>
      </w:r>
      <w:r w:rsidR="00EC794D" w:rsidRPr="00EB49D6">
        <w:rPr>
          <w:rFonts w:ascii="Arial" w:hAnsi="Arial" w:cs="Arial"/>
          <w:noProof/>
          <w:sz w:val="24"/>
          <w:szCs w:val="24"/>
        </w:rPr>
        <w:t>.) w związku ze wsparciem obywateli państw trzecich, to ww. pracownicy stanowią otoczenie grupy docelowej naboru.</w:t>
      </w:r>
      <w:r w:rsidRPr="00EB49D6">
        <w:rPr>
          <w:rFonts w:ascii="Arial" w:hAnsi="Arial" w:cs="Arial"/>
          <w:noProof/>
          <w:sz w:val="24"/>
          <w:szCs w:val="24"/>
        </w:rPr>
        <w:t xml:space="preserve"> </w:t>
      </w:r>
    </w:p>
    <w:p w14:paraId="2AD01396" w14:textId="20D5BBB7" w:rsidR="008441BA" w:rsidRPr="00EB49D6" w:rsidRDefault="008441BA" w:rsidP="008441BA">
      <w:pPr>
        <w:spacing w:before="240" w:after="240" w:line="276" w:lineRule="auto"/>
        <w:rPr>
          <w:rFonts w:ascii="Arial" w:hAnsi="Arial" w:cs="Arial"/>
          <w:noProof/>
          <w:sz w:val="24"/>
          <w:szCs w:val="24"/>
        </w:rPr>
      </w:pPr>
      <w:r w:rsidRPr="00EB49D6">
        <w:rPr>
          <w:rFonts w:ascii="Arial" w:hAnsi="Arial" w:cs="Arial"/>
          <w:noProof/>
          <w:sz w:val="24"/>
          <w:szCs w:val="24"/>
        </w:rPr>
        <w:t>W powyżs</w:t>
      </w:r>
      <w:r w:rsidR="00153315" w:rsidRPr="00EB49D6">
        <w:rPr>
          <w:rFonts w:ascii="Arial" w:hAnsi="Arial" w:cs="Arial"/>
          <w:noProof/>
          <w:sz w:val="24"/>
          <w:szCs w:val="24"/>
        </w:rPr>
        <w:t>zej</w:t>
      </w:r>
      <w:r w:rsidRPr="00EB49D6">
        <w:rPr>
          <w:rFonts w:ascii="Arial" w:hAnsi="Arial" w:cs="Arial"/>
          <w:noProof/>
          <w:sz w:val="24"/>
          <w:szCs w:val="24"/>
        </w:rPr>
        <w:t xml:space="preserve"> sytuacj</w:t>
      </w:r>
      <w:r w:rsidR="00153315" w:rsidRPr="00EB49D6">
        <w:rPr>
          <w:rFonts w:ascii="Arial" w:hAnsi="Arial" w:cs="Arial"/>
          <w:noProof/>
          <w:sz w:val="24"/>
          <w:szCs w:val="24"/>
        </w:rPr>
        <w:t>i</w:t>
      </w:r>
      <w:r w:rsidRPr="00EB49D6">
        <w:rPr>
          <w:rFonts w:ascii="Arial" w:hAnsi="Arial" w:cs="Arial"/>
          <w:noProof/>
          <w:sz w:val="24"/>
          <w:szCs w:val="24"/>
        </w:rPr>
        <w:t xml:space="preserve"> otoczenie podlega monitorowaniu</w:t>
      </w:r>
      <w:r w:rsidR="00EB49D6">
        <w:rPr>
          <w:rFonts w:ascii="Arial" w:hAnsi="Arial" w:cs="Arial"/>
          <w:noProof/>
          <w:sz w:val="24"/>
          <w:szCs w:val="24"/>
        </w:rPr>
        <w:t>.</w:t>
      </w:r>
      <w:r w:rsidRPr="00EB49D6">
        <w:rPr>
          <w:rFonts w:ascii="Arial" w:hAnsi="Arial" w:cs="Arial"/>
          <w:noProof/>
          <w:sz w:val="24"/>
          <w:szCs w:val="24"/>
        </w:rPr>
        <w:t xml:space="preserve"> </w:t>
      </w:r>
      <w:r w:rsidR="00EB49D6">
        <w:rPr>
          <w:rFonts w:ascii="Arial" w:hAnsi="Arial" w:cs="Arial"/>
          <w:noProof/>
          <w:sz w:val="24"/>
          <w:szCs w:val="24"/>
        </w:rPr>
        <w:t>Tym samym</w:t>
      </w:r>
      <w:r w:rsidRPr="00EB49D6">
        <w:rPr>
          <w:rFonts w:ascii="Arial" w:hAnsi="Arial" w:cs="Arial"/>
          <w:noProof/>
          <w:sz w:val="24"/>
          <w:szCs w:val="24"/>
        </w:rPr>
        <w:t xml:space="preserve"> należy zdefiniować własny wskaźnik </w:t>
      </w:r>
      <w:r w:rsidR="00EB49D6">
        <w:rPr>
          <w:rFonts w:ascii="Arial" w:hAnsi="Arial" w:cs="Arial"/>
          <w:noProof/>
          <w:sz w:val="24"/>
          <w:szCs w:val="24"/>
        </w:rPr>
        <w:t>produktu</w:t>
      </w:r>
      <w:r w:rsidRPr="00EB49D6">
        <w:rPr>
          <w:rFonts w:ascii="Arial" w:hAnsi="Arial" w:cs="Arial"/>
          <w:noProof/>
          <w:sz w:val="24"/>
          <w:szCs w:val="24"/>
        </w:rPr>
        <w:t xml:space="preserve"> pn. „</w:t>
      </w:r>
      <w:r w:rsidRPr="00EB49D6">
        <w:rPr>
          <w:rFonts w:ascii="Arial" w:hAnsi="Arial" w:cs="Arial"/>
          <w:b/>
          <w:bCs/>
          <w:noProof/>
          <w:sz w:val="24"/>
          <w:szCs w:val="24"/>
        </w:rPr>
        <w:t xml:space="preserve">Liczba osób z otoczenia </w:t>
      </w:r>
      <w:r w:rsidR="00B66513" w:rsidRPr="00EB49D6">
        <w:rPr>
          <w:rFonts w:ascii="Arial" w:hAnsi="Arial" w:cs="Arial"/>
          <w:b/>
          <w:bCs/>
          <w:noProof/>
          <w:sz w:val="24"/>
          <w:szCs w:val="24"/>
        </w:rPr>
        <w:t xml:space="preserve">obywateli państw trzecich </w:t>
      </w:r>
      <w:r w:rsidRPr="00EB49D6">
        <w:rPr>
          <w:rFonts w:ascii="Arial" w:hAnsi="Arial" w:cs="Arial"/>
          <w:b/>
          <w:bCs/>
          <w:noProof/>
          <w:sz w:val="24"/>
          <w:szCs w:val="24"/>
        </w:rPr>
        <w:t>otrzymująca bezpośrednie wsparcie w projekcie</w:t>
      </w:r>
      <w:r w:rsidRPr="00EB49D6">
        <w:rPr>
          <w:rFonts w:ascii="Arial" w:hAnsi="Arial" w:cs="Arial"/>
          <w:noProof/>
          <w:sz w:val="24"/>
          <w:szCs w:val="24"/>
        </w:rPr>
        <w:t xml:space="preserve">”. </w:t>
      </w:r>
      <w:r w:rsidR="000A546A" w:rsidRPr="00EB49D6">
        <w:rPr>
          <w:rFonts w:ascii="Arial" w:hAnsi="Arial" w:cs="Arial"/>
          <w:noProof/>
          <w:sz w:val="24"/>
          <w:szCs w:val="24"/>
        </w:rPr>
        <w:t>Rekomendowane źródła danych do pomiaru wskaźnika powinny uwzględniać w pierwszej kolejności zaświadczenia i dokumenty wystawione przez odpowiednie instytucje oraz listy obecności. Moment pomiaru wskaźników produktu to moment rozpoczęcia udziału w pierwszej formie wsparcia.</w:t>
      </w:r>
    </w:p>
    <w:p w14:paraId="1813BC2F" w14:textId="4F504D77" w:rsidR="004B7417" w:rsidRPr="00EB49D6" w:rsidRDefault="008441BA" w:rsidP="003004B1">
      <w:pPr>
        <w:spacing w:before="240" w:after="240" w:line="276" w:lineRule="auto"/>
        <w:rPr>
          <w:rFonts w:ascii="Arial" w:hAnsi="Arial" w:cs="Arial"/>
          <w:noProof/>
          <w:sz w:val="24"/>
          <w:szCs w:val="24"/>
        </w:rPr>
      </w:pPr>
      <w:r w:rsidRPr="00EB49D6">
        <w:rPr>
          <w:rFonts w:ascii="Arial" w:hAnsi="Arial" w:cs="Arial"/>
          <w:noProof/>
          <w:sz w:val="24"/>
          <w:szCs w:val="24"/>
        </w:rPr>
        <w:t xml:space="preserve">Jeżeli otoczenie </w:t>
      </w:r>
      <w:r w:rsidR="00A664E9" w:rsidRPr="00EB49D6">
        <w:rPr>
          <w:rFonts w:ascii="Arial" w:hAnsi="Arial" w:cs="Arial"/>
          <w:noProof/>
          <w:sz w:val="24"/>
          <w:szCs w:val="24"/>
        </w:rPr>
        <w:t xml:space="preserve">obywateli państw trzecich </w:t>
      </w:r>
      <w:r w:rsidRPr="00EB49D6">
        <w:rPr>
          <w:rFonts w:ascii="Arial" w:hAnsi="Arial" w:cs="Arial"/>
          <w:noProof/>
          <w:sz w:val="24"/>
          <w:szCs w:val="24"/>
        </w:rPr>
        <w:t xml:space="preserve">bierze udział np. w piknikach integracyjnych, na których nie zaplanowano finansowania bezpośredniego wsparcia, to nie podlega monitorowaniu. </w:t>
      </w:r>
    </w:p>
    <w:p w14:paraId="1E4B80F5" w14:textId="1C52490D" w:rsidR="00AC3EFE" w:rsidRPr="00966C1A" w:rsidRDefault="00AC3EFE" w:rsidP="003004B1">
      <w:pPr>
        <w:spacing w:before="240" w:after="240" w:line="276" w:lineRule="auto"/>
        <w:rPr>
          <w:rFonts w:ascii="Arial" w:hAnsi="Arial" w:cs="Arial"/>
          <w:b/>
          <w:bCs/>
          <w:noProof/>
          <w:color w:val="2E74B5" w:themeColor="accent5" w:themeShade="BF"/>
          <w:sz w:val="32"/>
          <w:szCs w:val="32"/>
        </w:rPr>
      </w:pPr>
      <w:r w:rsidRPr="00966C1A">
        <w:rPr>
          <w:rFonts w:ascii="Arial" w:hAnsi="Arial" w:cs="Arial"/>
          <w:b/>
          <w:bCs/>
          <w:noProof/>
          <w:color w:val="2E74B5" w:themeColor="accent5" w:themeShade="BF"/>
          <w:sz w:val="32"/>
          <w:szCs w:val="32"/>
        </w:rPr>
        <w:t xml:space="preserve">Wskaźniki rezultatu </w:t>
      </w:r>
      <w:r w:rsidR="00425C07" w:rsidRPr="00966C1A">
        <w:rPr>
          <w:rFonts w:ascii="Arial" w:hAnsi="Arial" w:cs="Arial"/>
          <w:b/>
          <w:bCs/>
          <w:noProof/>
          <w:color w:val="2E74B5" w:themeColor="accent5" w:themeShade="BF"/>
          <w:sz w:val="32"/>
          <w:szCs w:val="32"/>
        </w:rPr>
        <w:t>bezpośredniego</w:t>
      </w:r>
    </w:p>
    <w:tbl>
      <w:tblPr>
        <w:tblStyle w:val="Tabela-Siatka"/>
        <w:tblW w:w="0" w:type="auto"/>
        <w:tblLook w:val="04A0" w:firstRow="1" w:lastRow="0" w:firstColumn="1" w:lastColumn="0" w:noHBand="0" w:noVBand="1"/>
      </w:tblPr>
      <w:tblGrid>
        <w:gridCol w:w="507"/>
        <w:gridCol w:w="3032"/>
        <w:gridCol w:w="6547"/>
        <w:gridCol w:w="3908"/>
      </w:tblGrid>
      <w:tr w:rsidR="00245A73" w:rsidRPr="00966C1A" w14:paraId="7DD9C79E" w14:textId="77777777" w:rsidTr="00C6458A">
        <w:trPr>
          <w:tblHeader/>
        </w:trPr>
        <w:tc>
          <w:tcPr>
            <w:tcW w:w="507" w:type="dxa"/>
          </w:tcPr>
          <w:p w14:paraId="29AC241A" w14:textId="7EC1DA04" w:rsidR="00F95A18" w:rsidRPr="00966C1A" w:rsidRDefault="00F95A18" w:rsidP="00F95A18">
            <w:pPr>
              <w:autoSpaceDE w:val="0"/>
              <w:autoSpaceDN w:val="0"/>
              <w:adjustRightInd w:val="0"/>
              <w:spacing w:before="120" w:after="120" w:line="276" w:lineRule="auto"/>
              <w:jc w:val="both"/>
              <w:rPr>
                <w:rFonts w:ascii="Arial" w:hAnsi="Arial" w:cs="Arial"/>
                <w:noProof/>
                <w:sz w:val="24"/>
                <w:szCs w:val="24"/>
              </w:rPr>
            </w:pPr>
            <w:r w:rsidRPr="00966C1A">
              <w:rPr>
                <w:rFonts w:ascii="Arial" w:hAnsi="Arial" w:cs="Arial"/>
                <w:b/>
                <w:bCs/>
                <w:noProof/>
                <w:sz w:val="24"/>
                <w:szCs w:val="24"/>
              </w:rPr>
              <w:t>Nr</w:t>
            </w:r>
          </w:p>
        </w:tc>
        <w:tc>
          <w:tcPr>
            <w:tcW w:w="3032" w:type="dxa"/>
          </w:tcPr>
          <w:p w14:paraId="4BF1C2E0" w14:textId="6DD5B95F" w:rsidR="00F95A18" w:rsidRPr="00966C1A" w:rsidRDefault="00F95A18" w:rsidP="00F95A18">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Kod i nazwa</w:t>
            </w:r>
          </w:p>
        </w:tc>
        <w:tc>
          <w:tcPr>
            <w:tcW w:w="6547" w:type="dxa"/>
          </w:tcPr>
          <w:p w14:paraId="14CDE584" w14:textId="3B355D56" w:rsidR="00F95A18" w:rsidRPr="00966C1A" w:rsidRDefault="00F95A18" w:rsidP="00F95A18">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Definicja</w:t>
            </w:r>
          </w:p>
        </w:tc>
        <w:tc>
          <w:tcPr>
            <w:tcW w:w="3908" w:type="dxa"/>
          </w:tcPr>
          <w:p w14:paraId="39EAC023" w14:textId="094A6E68" w:rsidR="00F95A18" w:rsidRPr="00966C1A" w:rsidRDefault="00F95A18" w:rsidP="00F95A18">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Rekomendowane źródła danych do pomiaru wskaźników i moment pomiaru</w:t>
            </w:r>
          </w:p>
        </w:tc>
      </w:tr>
      <w:bookmarkEnd w:id="0"/>
      <w:tr w:rsidR="00D80A84" w:rsidRPr="00966C1A" w14:paraId="002A0592" w14:textId="77777777" w:rsidTr="00C6458A">
        <w:tc>
          <w:tcPr>
            <w:tcW w:w="507" w:type="dxa"/>
          </w:tcPr>
          <w:p w14:paraId="58A343AD" w14:textId="77777777" w:rsidR="00D80A84" w:rsidRPr="00966C1A" w:rsidRDefault="00D80A84" w:rsidP="00D80A84">
            <w:pPr>
              <w:autoSpaceDE w:val="0"/>
              <w:autoSpaceDN w:val="0"/>
              <w:adjustRightInd w:val="0"/>
              <w:spacing w:before="120" w:after="120" w:line="276" w:lineRule="auto"/>
              <w:jc w:val="both"/>
              <w:rPr>
                <w:rFonts w:ascii="Arial" w:hAnsi="Arial" w:cs="Arial"/>
                <w:noProof/>
                <w:sz w:val="24"/>
                <w:szCs w:val="24"/>
              </w:rPr>
            </w:pPr>
          </w:p>
        </w:tc>
        <w:tc>
          <w:tcPr>
            <w:tcW w:w="3032" w:type="dxa"/>
          </w:tcPr>
          <w:p w14:paraId="0A683179" w14:textId="3152C1F2"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WLWK-EECR02 - Liczba osób, które podjęły kształcenie lub szkolenie po opuszczeniu programu</w:t>
            </w:r>
          </w:p>
        </w:tc>
        <w:tc>
          <w:tcPr>
            <w:tcW w:w="6547" w:type="dxa"/>
          </w:tcPr>
          <w:p w14:paraId="15110EF5" w14:textId="22241A2F" w:rsidR="00D80A84" w:rsidRPr="00966C1A" w:rsidRDefault="00D80A84" w:rsidP="00F25883">
            <w:pPr>
              <w:autoSpaceDE w:val="0"/>
              <w:autoSpaceDN w:val="0"/>
              <w:adjustRightInd w:val="0"/>
              <w:spacing w:beforeLines="60" w:before="144" w:line="276" w:lineRule="auto"/>
              <w:rPr>
                <w:rFonts w:ascii="Arial" w:hAnsi="Arial" w:cs="Arial"/>
                <w:noProof/>
                <w:sz w:val="24"/>
                <w:szCs w:val="24"/>
              </w:rPr>
            </w:pPr>
            <w:r w:rsidRPr="00966C1A">
              <w:rPr>
                <w:rFonts w:ascii="Arial" w:hAnsi="Arial" w:cs="Arial"/>
                <w:noProof/>
                <w:sz w:val="24"/>
                <w:szCs w:val="24"/>
              </w:rPr>
              <w:t>Do wskaźnika wlicza się osoby, które otrzymały wsparcie EFS+, i które podjęły kształcenie (uczenie się przez całe życie, kształcenie formalne) lub szkolenie poza miejscem pracy/ w miejscu pracy, szkolenia zawodowe etc., bezpośrednio po opuszczeniu projektu. Wskaźnik mierzony do czterech tygodni od zakończenia przez uczestnika udziału w projekcie.</w:t>
            </w:r>
          </w:p>
          <w:p w14:paraId="4A777BC2" w14:textId="77777777" w:rsidR="00D80A84" w:rsidRPr="00966C1A" w:rsidRDefault="00D80A84" w:rsidP="00F25883">
            <w:pPr>
              <w:autoSpaceDE w:val="0"/>
              <w:autoSpaceDN w:val="0"/>
              <w:adjustRightInd w:val="0"/>
              <w:spacing w:beforeLines="60" w:before="144" w:line="276" w:lineRule="auto"/>
              <w:rPr>
                <w:rFonts w:ascii="Arial" w:hAnsi="Arial" w:cs="Arial"/>
                <w:noProof/>
                <w:sz w:val="24"/>
                <w:szCs w:val="24"/>
              </w:rPr>
            </w:pPr>
            <w:r w:rsidRPr="00966C1A">
              <w:rPr>
                <w:rFonts w:ascii="Arial" w:hAnsi="Arial" w:cs="Arial"/>
                <w:noProof/>
                <w:sz w:val="24"/>
                <w:szCs w:val="24"/>
              </w:rPr>
              <w:t xml:space="preserve">Wskaźnik ten należy rozumieć jako zmianę sytuacji po opuszczeniu programu w stosunku do stanu w momencie przystąpienia do interwencji EFS+ (osoba nieuczestnicząca </w:t>
            </w:r>
            <w:r w:rsidRPr="00966C1A">
              <w:rPr>
                <w:rFonts w:ascii="Arial" w:hAnsi="Arial" w:cs="Arial"/>
                <w:noProof/>
                <w:sz w:val="24"/>
                <w:szCs w:val="24"/>
              </w:rPr>
              <w:lastRenderedPageBreak/>
              <w:t>w kształceniu/szkoleniu w chwili wejścia do programu EFS+, a w ciągu czterech tygodni po opuszczeniu projektu – osoba uczestnicząca w kształceniu lub szkoleniu). Źródło finansowania szkolenia/kształcenia jest nieistotne.</w:t>
            </w:r>
          </w:p>
          <w:p w14:paraId="64D3A880" w14:textId="77777777" w:rsidR="00D80A84" w:rsidRPr="00966C1A" w:rsidRDefault="00D80A84" w:rsidP="00F25883">
            <w:pPr>
              <w:autoSpaceDE w:val="0"/>
              <w:autoSpaceDN w:val="0"/>
              <w:adjustRightInd w:val="0"/>
              <w:spacing w:beforeLines="60" w:before="144" w:line="276" w:lineRule="auto"/>
              <w:rPr>
                <w:rFonts w:ascii="Arial" w:hAnsi="Arial" w:cs="Arial"/>
                <w:noProof/>
                <w:sz w:val="24"/>
                <w:szCs w:val="24"/>
              </w:rPr>
            </w:pPr>
            <w:r w:rsidRPr="00966C1A">
              <w:rPr>
                <w:rFonts w:ascii="Arial" w:hAnsi="Arial" w:cs="Arial"/>
                <w:noProof/>
                <w:sz w:val="24"/>
                <w:szCs w:val="24"/>
              </w:rPr>
              <w:t>Informacje dodatkowe:</w:t>
            </w:r>
          </w:p>
          <w:p w14:paraId="007C193B" w14:textId="1350E9C0" w:rsidR="00D80A84" w:rsidRPr="00966C1A" w:rsidRDefault="00D80A84" w:rsidP="00F25883">
            <w:pPr>
              <w:autoSpaceDE w:val="0"/>
              <w:autoSpaceDN w:val="0"/>
              <w:adjustRightInd w:val="0"/>
              <w:spacing w:beforeLines="60" w:before="144" w:line="276" w:lineRule="auto"/>
              <w:rPr>
                <w:rFonts w:ascii="Arial" w:hAnsi="Arial" w:cs="Arial"/>
                <w:noProof/>
                <w:sz w:val="24"/>
                <w:szCs w:val="24"/>
              </w:rPr>
            </w:pPr>
            <w:r w:rsidRPr="00966C1A">
              <w:rPr>
                <w:rFonts w:ascii="Arial" w:hAnsi="Arial" w:cs="Arial"/>
                <w:noProof/>
                <w:sz w:val="24"/>
                <w:szCs w:val="24"/>
              </w:rPr>
              <w:t>Wskaźnik nie obejmuje uczniów, tj. dzieci i młodzieży uczącej się oraz osób dorosłych, jeśli w dniu przystąpienia do projektu osoby te kształciły się lub szkoliły.</w:t>
            </w:r>
          </w:p>
          <w:p w14:paraId="5A3E9877" w14:textId="33E0AFDF" w:rsidR="00D80A84" w:rsidRPr="00966C1A" w:rsidRDefault="00D80A84" w:rsidP="00F25883">
            <w:pPr>
              <w:autoSpaceDE w:val="0"/>
              <w:autoSpaceDN w:val="0"/>
              <w:adjustRightInd w:val="0"/>
              <w:spacing w:beforeLines="60" w:before="144" w:after="120" w:line="276" w:lineRule="auto"/>
              <w:rPr>
                <w:rFonts w:ascii="Arial" w:hAnsi="Arial" w:cs="Arial"/>
                <w:noProof/>
                <w:sz w:val="24"/>
                <w:szCs w:val="24"/>
              </w:rPr>
            </w:pPr>
            <w:r w:rsidRPr="00966C1A">
              <w:rPr>
                <w:rFonts w:ascii="Arial" w:hAnsi="Arial" w:cs="Arial"/>
                <w:noProof/>
                <w:sz w:val="24"/>
                <w:szCs w:val="24"/>
              </w:rPr>
              <w:t>Wskaźnik pokazuje efekt wsparcia po zakończeniu udziału w projekcie i mierzony jest do 4 tygodni od zakończenia udziału w projekcie.</w:t>
            </w:r>
          </w:p>
        </w:tc>
        <w:tc>
          <w:tcPr>
            <w:tcW w:w="3908" w:type="dxa"/>
          </w:tcPr>
          <w:p w14:paraId="4FC15A73" w14:textId="3AECC451" w:rsidR="00D80A84" w:rsidRPr="00966C1A" w:rsidRDefault="00D80A84" w:rsidP="00F25883">
            <w:pPr>
              <w:autoSpaceDE w:val="0"/>
              <w:autoSpaceDN w:val="0"/>
              <w:adjustRightInd w:val="0"/>
              <w:spacing w:beforeLines="60" w:before="144" w:line="276" w:lineRule="auto"/>
              <w:rPr>
                <w:rFonts w:ascii="Arial" w:hAnsi="Arial" w:cs="Arial"/>
                <w:noProof/>
                <w:sz w:val="24"/>
                <w:szCs w:val="24"/>
              </w:rPr>
            </w:pPr>
            <w:r w:rsidRPr="00966C1A">
              <w:rPr>
                <w:rFonts w:ascii="Arial" w:hAnsi="Arial" w:cs="Arial"/>
                <w:noProof/>
                <w:sz w:val="24"/>
                <w:szCs w:val="24"/>
              </w:rPr>
              <w:lastRenderedPageBreak/>
              <w:t>Źródła danych do pomiaru: zaświadczenie o rozpoczęciu nauki / szkolenia</w:t>
            </w:r>
          </w:p>
          <w:p w14:paraId="2E6BFF33" w14:textId="47B7DACC" w:rsidR="00D80A84" w:rsidRPr="00966C1A" w:rsidRDefault="00D80A84" w:rsidP="00F25883">
            <w:pPr>
              <w:autoSpaceDE w:val="0"/>
              <w:autoSpaceDN w:val="0"/>
              <w:adjustRightInd w:val="0"/>
              <w:spacing w:beforeLines="60" w:before="144" w:after="120" w:line="276" w:lineRule="auto"/>
              <w:rPr>
                <w:rFonts w:ascii="Arial" w:hAnsi="Arial" w:cs="Arial"/>
                <w:noProof/>
                <w:sz w:val="24"/>
                <w:szCs w:val="24"/>
              </w:rPr>
            </w:pPr>
            <w:r w:rsidRPr="00966C1A">
              <w:rPr>
                <w:rFonts w:ascii="Arial" w:hAnsi="Arial" w:cs="Arial"/>
                <w:noProof/>
                <w:sz w:val="24"/>
                <w:szCs w:val="24"/>
              </w:rPr>
              <w:t>Moment pomiaru: w ciągu 4 tygodni od zakończenia projektu.</w:t>
            </w:r>
          </w:p>
        </w:tc>
      </w:tr>
      <w:tr w:rsidR="00D80A84" w:rsidRPr="00966C1A" w14:paraId="220F59ED" w14:textId="77777777" w:rsidTr="00C6458A">
        <w:tc>
          <w:tcPr>
            <w:tcW w:w="507" w:type="dxa"/>
          </w:tcPr>
          <w:p w14:paraId="63C7882E" w14:textId="46BBBB0F" w:rsidR="00D80A84" w:rsidRPr="00966C1A" w:rsidRDefault="00D80A84" w:rsidP="00D80A84">
            <w:pPr>
              <w:autoSpaceDE w:val="0"/>
              <w:autoSpaceDN w:val="0"/>
              <w:adjustRightInd w:val="0"/>
              <w:spacing w:before="120" w:after="120" w:line="276" w:lineRule="auto"/>
              <w:jc w:val="both"/>
              <w:rPr>
                <w:rFonts w:ascii="Arial" w:hAnsi="Arial" w:cs="Arial"/>
                <w:noProof/>
                <w:sz w:val="24"/>
                <w:szCs w:val="24"/>
              </w:rPr>
            </w:pPr>
            <w:bookmarkStart w:id="1" w:name="_Hlk135137689"/>
            <w:r w:rsidRPr="00966C1A">
              <w:rPr>
                <w:rFonts w:ascii="Arial" w:hAnsi="Arial" w:cs="Arial"/>
                <w:noProof/>
                <w:sz w:val="24"/>
                <w:szCs w:val="24"/>
              </w:rPr>
              <w:t>1</w:t>
            </w:r>
          </w:p>
        </w:tc>
        <w:tc>
          <w:tcPr>
            <w:tcW w:w="3032" w:type="dxa"/>
          </w:tcPr>
          <w:p w14:paraId="78C0462B" w14:textId="6AB62286"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WLWK-PLHILCR01 - Liczba osób, których sytuacja społeczna uległa poprawie po opuszczeniu programu</w:t>
            </w:r>
          </w:p>
        </w:tc>
        <w:tc>
          <w:tcPr>
            <w:tcW w:w="6547" w:type="dxa"/>
          </w:tcPr>
          <w:p w14:paraId="3C521AC3"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mierzony do czterech tygodni od zakończenia udziału w projekcie.</w:t>
            </w:r>
          </w:p>
          <w:p w14:paraId="0350CA53" w14:textId="34D991B8"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odnosi się do pomiaru spełnienia kryterium efektywności społecznej. Poprawa sytuacji społecznej oznacza osiągnięcie min. 1 z poniższych efektów:</w:t>
            </w:r>
            <w:r w:rsidRPr="00966C1A">
              <w:rPr>
                <w:rFonts w:ascii="Arial" w:hAnsi="Arial" w:cs="Arial"/>
                <w:noProof/>
                <w:sz w:val="24"/>
                <w:szCs w:val="24"/>
              </w:rPr>
              <w:br/>
              <w:t xml:space="preserve">a) rozpoczęcie nauki; </w:t>
            </w:r>
            <w:r w:rsidRPr="00966C1A">
              <w:rPr>
                <w:rFonts w:ascii="Arial" w:hAnsi="Arial" w:cs="Arial"/>
                <w:noProof/>
                <w:sz w:val="24"/>
                <w:szCs w:val="24"/>
              </w:rPr>
              <w:br/>
              <w:t>b) wzmocnienie motywacji do pracy po projekcie;</w:t>
            </w:r>
            <w:r w:rsidRPr="00966C1A">
              <w:rPr>
                <w:rFonts w:ascii="Arial" w:hAnsi="Arial" w:cs="Arial"/>
                <w:noProof/>
                <w:sz w:val="24"/>
                <w:szCs w:val="24"/>
              </w:rPr>
              <w:br/>
              <w:t>c) zwiększenie pewności siebie i własnych umiejętności;</w:t>
            </w:r>
            <w:r w:rsidRPr="00966C1A">
              <w:rPr>
                <w:rFonts w:ascii="Arial" w:hAnsi="Arial" w:cs="Arial"/>
                <w:noProof/>
                <w:sz w:val="24"/>
                <w:szCs w:val="24"/>
              </w:rPr>
              <w:br/>
              <w:t>d) poprawa umiejętności rozwiązywania pojawiających się problemów;</w:t>
            </w:r>
            <w:r w:rsidRPr="00966C1A">
              <w:rPr>
                <w:rFonts w:ascii="Arial" w:hAnsi="Arial" w:cs="Arial"/>
                <w:noProof/>
                <w:sz w:val="24"/>
                <w:szCs w:val="24"/>
              </w:rPr>
              <w:br/>
              <w:t xml:space="preserve">e) podjęcie wolontariatu; </w:t>
            </w:r>
            <w:r w:rsidRPr="00966C1A">
              <w:rPr>
                <w:rFonts w:ascii="Arial" w:hAnsi="Arial" w:cs="Arial"/>
                <w:noProof/>
                <w:sz w:val="24"/>
                <w:szCs w:val="24"/>
              </w:rPr>
              <w:br/>
            </w:r>
            <w:r w:rsidRPr="00966C1A">
              <w:rPr>
                <w:rFonts w:ascii="Arial" w:hAnsi="Arial" w:cs="Arial"/>
                <w:noProof/>
                <w:sz w:val="24"/>
                <w:szCs w:val="24"/>
              </w:rPr>
              <w:lastRenderedPageBreak/>
              <w:t>f) poprawa stanu zdrowia;</w:t>
            </w:r>
            <w:r w:rsidRPr="00966C1A">
              <w:rPr>
                <w:rFonts w:ascii="Arial" w:hAnsi="Arial" w:cs="Arial"/>
                <w:noProof/>
                <w:sz w:val="24"/>
                <w:szCs w:val="24"/>
              </w:rPr>
              <w:br/>
              <w:t>g) ograniczenie nałogów;</w:t>
            </w:r>
            <w:r w:rsidRPr="00966C1A">
              <w:rPr>
                <w:rFonts w:ascii="Arial" w:hAnsi="Arial" w:cs="Arial"/>
                <w:noProof/>
                <w:sz w:val="24"/>
                <w:szCs w:val="24"/>
              </w:rPr>
              <w:br/>
              <w:t>h) doświadczenie widocznej poprawy w funkcjonowaniu (w przypadku osób z niepełnosprawnościami).</w:t>
            </w:r>
          </w:p>
        </w:tc>
        <w:tc>
          <w:tcPr>
            <w:tcW w:w="3908" w:type="dxa"/>
          </w:tcPr>
          <w:p w14:paraId="33E31D73" w14:textId="6A0100A2"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xml:space="preserve">Źródła danych do pomiaru: zaświadczenie o podjęciu nauki, opinia pracownika socjalnego, psychologa, pedagoga, terapeuty, zaświadczenie o podjęciu/ukończeniu terapii uzależnień, zaświadczenia o podjęciu wolontariatu, wywiady psychologiczne i ankiety pre i post lub inne równoważne dokumenty. W przypadku braku możliwości ich </w:t>
            </w:r>
            <w:r w:rsidRPr="00966C1A">
              <w:rPr>
                <w:rFonts w:ascii="Arial" w:hAnsi="Arial" w:cs="Arial"/>
                <w:noProof/>
                <w:sz w:val="24"/>
                <w:szCs w:val="24"/>
              </w:rPr>
              <w:lastRenderedPageBreak/>
              <w:t>pozyskania - oświadczenie uczestnika.</w:t>
            </w:r>
          </w:p>
          <w:p w14:paraId="4D6E7871" w14:textId="2AED98D9"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Moment pomiaru: w ciągu 4 tygodni od zakończenia projektu.</w:t>
            </w:r>
          </w:p>
        </w:tc>
      </w:tr>
      <w:tr w:rsidR="00D80A84" w:rsidRPr="00966C1A" w14:paraId="7F2BC0C9" w14:textId="77777777" w:rsidTr="00C6458A">
        <w:tc>
          <w:tcPr>
            <w:tcW w:w="507" w:type="dxa"/>
          </w:tcPr>
          <w:p w14:paraId="674F483C" w14:textId="2B04188D" w:rsidR="00D80A84" w:rsidRPr="00966C1A" w:rsidRDefault="00D80A84" w:rsidP="00D80A84">
            <w:pPr>
              <w:autoSpaceDE w:val="0"/>
              <w:autoSpaceDN w:val="0"/>
              <w:adjustRightInd w:val="0"/>
              <w:spacing w:before="120" w:after="120" w:line="276" w:lineRule="auto"/>
              <w:jc w:val="both"/>
              <w:rPr>
                <w:rFonts w:ascii="Arial" w:hAnsi="Arial" w:cs="Arial"/>
                <w:noProof/>
                <w:sz w:val="24"/>
                <w:szCs w:val="24"/>
              </w:rPr>
            </w:pPr>
            <w:r w:rsidRPr="00966C1A">
              <w:rPr>
                <w:rFonts w:ascii="Arial" w:hAnsi="Arial" w:cs="Arial"/>
                <w:noProof/>
                <w:sz w:val="24"/>
                <w:szCs w:val="24"/>
              </w:rPr>
              <w:lastRenderedPageBreak/>
              <w:t>2</w:t>
            </w:r>
          </w:p>
        </w:tc>
        <w:tc>
          <w:tcPr>
            <w:tcW w:w="3032" w:type="dxa"/>
          </w:tcPr>
          <w:p w14:paraId="6793052E" w14:textId="77C1A814" w:rsidR="00D80A84" w:rsidRPr="00966C1A" w:rsidRDefault="00D80A84" w:rsidP="00D80A84">
            <w:pPr>
              <w:autoSpaceDE w:val="0"/>
              <w:autoSpaceDN w:val="0"/>
              <w:adjustRightInd w:val="0"/>
              <w:spacing w:before="120" w:after="120" w:line="276" w:lineRule="auto"/>
              <w:rPr>
                <w:rFonts w:ascii="Arial" w:hAnsi="Arial" w:cs="Arial"/>
                <w:sz w:val="24"/>
                <w:szCs w:val="24"/>
              </w:rPr>
            </w:pPr>
            <w:r w:rsidRPr="00966C1A">
              <w:rPr>
                <w:rFonts w:ascii="Arial" w:hAnsi="Arial" w:cs="Arial"/>
                <w:sz w:val="24"/>
                <w:szCs w:val="24"/>
              </w:rPr>
              <w:t>WLWK-EECR01 - Liczba osób poszukujących pracy po opuszczeniu programu</w:t>
            </w:r>
          </w:p>
        </w:tc>
        <w:tc>
          <w:tcPr>
            <w:tcW w:w="6547" w:type="dxa"/>
          </w:tcPr>
          <w:p w14:paraId="7BFBBF1A"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Do wskaźnika wlicza się osoby bierne zawodowo w momencie rozpoczęcia udziału w projekcie, które otrzymały wsparcie z EFS+ i które poszukują pracy po opuszczeniu projektu.</w:t>
            </w:r>
          </w:p>
          <w:p w14:paraId="03DF546A"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ten należy rozumieć jako zmianę statusu na rynku pracy po opuszczeniu programu w stosunku do sytuacji w momencie przystąpienia do interwencji EFS+: w chwili wejścia do projektu EFS+ – uczestnik bierny zawodowo, a w ciągu czterech tygodni po opuszczeniu projektu – osoba poszukująca pracy.</w:t>
            </w:r>
          </w:p>
          <w:p w14:paraId="29B625AD"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Osoby bierne zawodowo definiowane są jak we wskaźniku: </w:t>
            </w:r>
            <w:r w:rsidRPr="00966C1A">
              <w:rPr>
                <w:rFonts w:ascii="Arial" w:hAnsi="Arial" w:cs="Arial"/>
                <w:i/>
                <w:iCs/>
                <w:noProof/>
                <w:sz w:val="24"/>
                <w:szCs w:val="24"/>
              </w:rPr>
              <w:t xml:space="preserve">liczba osób biernych zawodowo objętych wsparciem w programie </w:t>
            </w:r>
            <w:r w:rsidRPr="00966C1A">
              <w:rPr>
                <w:rFonts w:ascii="Arial" w:hAnsi="Arial" w:cs="Arial"/>
                <w:noProof/>
                <w:sz w:val="24"/>
                <w:szCs w:val="24"/>
              </w:rPr>
              <w:t xml:space="preserve">(definicja wskaźnika we wskaźniku </w:t>
            </w:r>
            <w:r w:rsidRPr="00966C1A">
              <w:rPr>
                <w:rFonts w:ascii="Arial" w:hAnsi="Arial" w:cs="Arial"/>
                <w:i/>
                <w:iCs/>
                <w:noProof/>
                <w:sz w:val="24"/>
                <w:szCs w:val="24"/>
              </w:rPr>
              <w:t>liczba osób niezatrudnionych objętych wsparciem w programie</w:t>
            </w:r>
            <w:r w:rsidRPr="00966C1A">
              <w:rPr>
                <w:rFonts w:ascii="Arial" w:hAnsi="Arial" w:cs="Arial"/>
                <w:noProof/>
                <w:sz w:val="24"/>
                <w:szCs w:val="24"/>
              </w:rPr>
              <w:t>).</w:t>
            </w:r>
          </w:p>
          <w:p w14:paraId="4BD0160B"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Osoby poszukujące pracy definiowane są jak we wskaźniku: </w:t>
            </w:r>
            <w:r w:rsidRPr="00966C1A">
              <w:rPr>
                <w:rFonts w:ascii="Arial" w:hAnsi="Arial" w:cs="Arial"/>
                <w:i/>
                <w:iCs/>
                <w:noProof/>
                <w:sz w:val="24"/>
                <w:szCs w:val="24"/>
              </w:rPr>
              <w:t>liczba osób bezrobotnych, w tym długotrwale bezrobotnych, objętych wsparciem w programie</w:t>
            </w:r>
            <w:r w:rsidRPr="00966C1A">
              <w:rPr>
                <w:rFonts w:ascii="Arial" w:hAnsi="Arial" w:cs="Arial"/>
                <w:noProof/>
                <w:sz w:val="24"/>
                <w:szCs w:val="24"/>
              </w:rPr>
              <w:t xml:space="preserve">, (definicja </w:t>
            </w:r>
            <w:r w:rsidRPr="00966C1A">
              <w:rPr>
                <w:rFonts w:ascii="Arial" w:hAnsi="Arial" w:cs="Arial"/>
                <w:noProof/>
                <w:sz w:val="24"/>
                <w:szCs w:val="24"/>
              </w:rPr>
              <w:lastRenderedPageBreak/>
              <w:t xml:space="preserve">wskaźnika we wskaźniku </w:t>
            </w:r>
            <w:r w:rsidRPr="00966C1A">
              <w:rPr>
                <w:rFonts w:ascii="Arial" w:hAnsi="Arial" w:cs="Arial"/>
                <w:i/>
                <w:iCs/>
                <w:noProof/>
                <w:sz w:val="24"/>
                <w:szCs w:val="24"/>
              </w:rPr>
              <w:t>liczba osób niezatrudnionych objętych wsparciem w programie</w:t>
            </w:r>
            <w:r w:rsidRPr="00966C1A">
              <w:rPr>
                <w:rFonts w:ascii="Arial" w:hAnsi="Arial" w:cs="Arial"/>
                <w:noProof/>
                <w:sz w:val="24"/>
                <w:szCs w:val="24"/>
              </w:rPr>
              <w:t>).</w:t>
            </w:r>
          </w:p>
          <w:p w14:paraId="67144AB3" w14:textId="464E348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Osoby poszukujące pracy definiowane są jako osoby niepracujące, gotowe do podjęcia pracy i aktywnie poszukujące zatrudnienia. Mogą to być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0E3A9852" w14:textId="08EA86AE"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pokazuje efekt wsparcia po zakończeniu udziału w projekcie i mierzony jest do 4 tygodni od zakończenia udziału w projekcie.</w:t>
            </w:r>
          </w:p>
        </w:tc>
        <w:tc>
          <w:tcPr>
            <w:tcW w:w="3908" w:type="dxa"/>
          </w:tcPr>
          <w:p w14:paraId="789F81F5"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xml:space="preserve">Źródła danych do pomiaru: potwierdzenie zarejestrowania osoby jako bezrobotnej lub poszukującej pracy w publicznych służbach zatrudnienia lub inny dokument potwierdzający spełnienie przesłanki osoby poszukującej pracy. </w:t>
            </w:r>
          </w:p>
          <w:p w14:paraId="78F236C3" w14:textId="1A49927C"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Moment pomiaru: w ciągu 4 tygodni, które minęły od momentu zakończenia udziału w projekcie.</w:t>
            </w:r>
          </w:p>
        </w:tc>
      </w:tr>
      <w:tr w:rsidR="00D80A84" w:rsidRPr="00966C1A" w14:paraId="35813E3B" w14:textId="77777777" w:rsidTr="00C6458A">
        <w:tc>
          <w:tcPr>
            <w:tcW w:w="507" w:type="dxa"/>
          </w:tcPr>
          <w:p w14:paraId="09651666" w14:textId="572E947D" w:rsidR="00D80A84" w:rsidRPr="00966C1A" w:rsidRDefault="00D80A84" w:rsidP="00D80A84">
            <w:pPr>
              <w:autoSpaceDE w:val="0"/>
              <w:autoSpaceDN w:val="0"/>
              <w:adjustRightInd w:val="0"/>
              <w:spacing w:before="120" w:afterLines="120" w:after="288" w:line="276" w:lineRule="auto"/>
              <w:jc w:val="both"/>
              <w:rPr>
                <w:rFonts w:ascii="Arial" w:hAnsi="Arial" w:cs="Arial"/>
                <w:noProof/>
                <w:sz w:val="24"/>
                <w:szCs w:val="24"/>
              </w:rPr>
            </w:pPr>
            <w:r w:rsidRPr="00966C1A">
              <w:rPr>
                <w:rFonts w:ascii="Arial" w:hAnsi="Arial" w:cs="Arial"/>
                <w:noProof/>
                <w:sz w:val="24"/>
                <w:szCs w:val="24"/>
              </w:rPr>
              <w:t>3</w:t>
            </w:r>
          </w:p>
        </w:tc>
        <w:tc>
          <w:tcPr>
            <w:tcW w:w="3032" w:type="dxa"/>
          </w:tcPr>
          <w:p w14:paraId="0618F9C9" w14:textId="14F6C4C7" w:rsidR="00D80A84" w:rsidRPr="00966C1A" w:rsidRDefault="00D80A84" w:rsidP="00D80A84">
            <w:pPr>
              <w:autoSpaceDE w:val="0"/>
              <w:autoSpaceDN w:val="0"/>
              <w:adjustRightInd w:val="0"/>
              <w:spacing w:before="120" w:afterLines="120" w:after="288" w:line="276" w:lineRule="auto"/>
              <w:rPr>
                <w:rFonts w:ascii="Arial" w:hAnsi="Arial" w:cs="Arial"/>
                <w:sz w:val="24"/>
                <w:szCs w:val="24"/>
              </w:rPr>
            </w:pPr>
            <w:r w:rsidRPr="00966C1A">
              <w:rPr>
                <w:rFonts w:ascii="Arial" w:hAnsi="Arial" w:cs="Arial"/>
                <w:sz w:val="24"/>
                <w:szCs w:val="24"/>
              </w:rPr>
              <w:t xml:space="preserve">WLWK-EECR04 - Liczba osób pracujących, łącznie </w:t>
            </w:r>
            <w:r w:rsidRPr="00966C1A">
              <w:rPr>
                <w:rFonts w:ascii="Arial" w:hAnsi="Arial" w:cs="Arial"/>
                <w:sz w:val="24"/>
                <w:szCs w:val="24"/>
              </w:rPr>
              <w:br/>
              <w:t>z prowadzącymi działalność na własny rachunek, po opuszczeniu programu</w:t>
            </w:r>
          </w:p>
        </w:tc>
        <w:tc>
          <w:tcPr>
            <w:tcW w:w="6547" w:type="dxa"/>
          </w:tcPr>
          <w:p w14:paraId="7598542B"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Do wskaźnika wlicza się osoby bezrobotne lub bierne zawodowo w momencie przystępowania do projektu, które po uzyskaniu wsparcia EFS+ podjęły zatrudnienie (łącznie z prowadzącymi działalność na własny rachunek) i pozostają zatrudnione bezpośrednio po opuszczeniu projektu, tj. do czterech tygodni od zakończenia udziału w projekcie.</w:t>
            </w:r>
          </w:p>
          <w:p w14:paraId="6FE1FCB7"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xml:space="preserve">Osoby bezrobotne definiowane są jak we wskaźniku: </w:t>
            </w:r>
            <w:r w:rsidRPr="00966C1A">
              <w:rPr>
                <w:rFonts w:ascii="Arial" w:hAnsi="Arial" w:cs="Arial"/>
                <w:i/>
                <w:iCs/>
                <w:noProof/>
                <w:sz w:val="24"/>
                <w:szCs w:val="24"/>
              </w:rPr>
              <w:t>liczba osób bezrobotnych, w tym długotrwale bezrobotnych, objętych wsparciem w programie</w:t>
            </w:r>
            <w:r w:rsidRPr="00966C1A">
              <w:rPr>
                <w:rFonts w:ascii="Arial" w:hAnsi="Arial" w:cs="Arial"/>
                <w:noProof/>
                <w:sz w:val="24"/>
                <w:szCs w:val="24"/>
              </w:rPr>
              <w:t xml:space="preserve"> (osoby) (definicja wskaźnika we wskaźniku </w:t>
            </w:r>
            <w:r w:rsidRPr="00966C1A">
              <w:rPr>
                <w:rFonts w:ascii="Arial" w:hAnsi="Arial" w:cs="Arial"/>
                <w:i/>
                <w:iCs/>
                <w:noProof/>
                <w:sz w:val="24"/>
                <w:szCs w:val="24"/>
              </w:rPr>
              <w:t>liczba osób niezatrudnionych objętych wsparciem w programie</w:t>
            </w:r>
            <w:r w:rsidRPr="00966C1A">
              <w:rPr>
                <w:rFonts w:ascii="Arial" w:hAnsi="Arial" w:cs="Arial"/>
                <w:noProof/>
                <w:sz w:val="24"/>
                <w:szCs w:val="24"/>
              </w:rPr>
              <w:t>).</w:t>
            </w:r>
          </w:p>
          <w:p w14:paraId="4BA8E580"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Osoby bierne zawodowo definiowane są jak we wskaźniku: </w:t>
            </w:r>
            <w:r w:rsidRPr="00966C1A">
              <w:rPr>
                <w:rFonts w:ascii="Arial" w:hAnsi="Arial" w:cs="Arial"/>
                <w:i/>
                <w:iCs/>
                <w:noProof/>
                <w:sz w:val="24"/>
                <w:szCs w:val="24"/>
              </w:rPr>
              <w:t>liczba osób biernych zawodowo objętych wsparciem w programie</w:t>
            </w:r>
            <w:r w:rsidRPr="00966C1A">
              <w:rPr>
                <w:rFonts w:ascii="Arial" w:hAnsi="Arial" w:cs="Arial"/>
                <w:noProof/>
                <w:sz w:val="24"/>
                <w:szCs w:val="24"/>
              </w:rPr>
              <w:t xml:space="preserve"> (osoby) (definicja wskaźnika we wskaźniku </w:t>
            </w:r>
            <w:r w:rsidRPr="00966C1A">
              <w:rPr>
                <w:rFonts w:ascii="Arial" w:hAnsi="Arial" w:cs="Arial"/>
                <w:i/>
                <w:iCs/>
                <w:noProof/>
                <w:sz w:val="24"/>
                <w:szCs w:val="24"/>
              </w:rPr>
              <w:t>liczba osób niezatrudnionych objętych wsparciem w programie</w:t>
            </w:r>
            <w:r w:rsidRPr="00966C1A">
              <w:rPr>
                <w:rFonts w:ascii="Arial" w:hAnsi="Arial" w:cs="Arial"/>
                <w:noProof/>
                <w:sz w:val="24"/>
                <w:szCs w:val="24"/>
              </w:rPr>
              <w:t>).</w:t>
            </w:r>
          </w:p>
          <w:p w14:paraId="2979446E"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Definicja pracujących, łącznie z prowadzącymi działalność na własny rachunek, jak we wskaźniku: </w:t>
            </w:r>
            <w:r w:rsidRPr="00966C1A">
              <w:rPr>
                <w:rFonts w:ascii="Arial" w:hAnsi="Arial" w:cs="Arial"/>
                <w:i/>
                <w:iCs/>
                <w:noProof/>
                <w:sz w:val="24"/>
                <w:szCs w:val="24"/>
              </w:rPr>
              <w:t>liczba osób pracujących, łącznie z prowadzącymi działalność na własny rachunek, objętych wsparciem w programie</w:t>
            </w:r>
            <w:r w:rsidRPr="00966C1A">
              <w:rPr>
                <w:rFonts w:ascii="Arial" w:hAnsi="Arial" w:cs="Arial"/>
                <w:noProof/>
                <w:sz w:val="24"/>
                <w:szCs w:val="24"/>
              </w:rPr>
              <w:t xml:space="preserve"> (osoby), tj. pracujący to osoby w wieku od 15 do 89 lat, które: wykonują pracę, za którą otrzymują wynagrodzenie, z której czerpią zyski lub korzyści rodzinne; osoby posiadające zatrudnienie lub własną działalność, które jednak chwilowo nie pracują (ze względu na np. chorobę, urlop, spór pracowniczy czy kształcenie się lub szkolenie); lub osoby produkujące towary rolne, których główna część przeznaczona jest na sprzedaż lub barter.</w:t>
            </w:r>
          </w:p>
          <w:p w14:paraId="2C42FD23"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Za osoby pracujące uznawane są również:</w:t>
            </w:r>
          </w:p>
          <w:p w14:paraId="20F60501"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osoby prowadzące działalność na własny rachunek, czyli prowadzące działalność gospodarczą lub działalność nierejestrową (definiowana zgodnie z art. 5 Ustawy z dnia 6 marca 2018 r. Prawo przedsiębiorców), gospodarstwo rolne lub praktykę zawodową, o ile spełniony jest jeden z poniższych warunków:</w:t>
            </w:r>
          </w:p>
          <w:p w14:paraId="192AB050" w14:textId="77777777" w:rsidR="00D80A84" w:rsidRPr="00966C1A" w:rsidRDefault="00D80A84" w:rsidP="00D80A84">
            <w:pPr>
              <w:autoSpaceDE w:val="0"/>
              <w:autoSpaceDN w:val="0"/>
              <w:adjustRightInd w:val="0"/>
              <w:spacing w:before="120" w:after="120" w:line="276" w:lineRule="auto"/>
              <w:ind w:left="708"/>
              <w:rPr>
                <w:rFonts w:ascii="Arial" w:hAnsi="Arial" w:cs="Arial"/>
                <w:noProof/>
                <w:sz w:val="24"/>
                <w:szCs w:val="24"/>
              </w:rPr>
            </w:pPr>
            <w:r w:rsidRPr="00966C1A">
              <w:rPr>
                <w:rFonts w:ascii="Arial" w:hAnsi="Arial" w:cs="Arial"/>
                <w:noProof/>
                <w:sz w:val="24"/>
                <w:szCs w:val="24"/>
              </w:rPr>
              <w:t>1) Osoba pracuje w swojej działalności, praktyce zawodowej lub gospodarstwie rolnym w celu uzyskania dochodu, nawet jeżeli przedsiębiorstwo nie osiąga zysków.</w:t>
            </w:r>
            <w:r w:rsidRPr="00966C1A">
              <w:rPr>
                <w:rFonts w:ascii="Arial" w:hAnsi="Arial" w:cs="Arial"/>
                <w:noProof/>
                <w:sz w:val="24"/>
                <w:szCs w:val="24"/>
              </w:rPr>
              <w:br/>
              <w:t>2) 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lub seminariach).</w:t>
            </w:r>
            <w:r w:rsidRPr="00966C1A">
              <w:rPr>
                <w:rFonts w:ascii="Arial" w:hAnsi="Arial" w:cs="Arial"/>
                <w:noProof/>
                <w:sz w:val="24"/>
                <w:szCs w:val="24"/>
              </w:rPr>
              <w:br/>
              <w:t xml:space="preserve">3) Osoba jest w trakcie zakładania działalności gospodarczej, gospodarstwa rolnego lub praktyki </w:t>
            </w:r>
            <w:r w:rsidRPr="00966C1A">
              <w:rPr>
                <w:rFonts w:ascii="Arial" w:hAnsi="Arial" w:cs="Arial"/>
                <w:noProof/>
                <w:sz w:val="24"/>
                <w:szCs w:val="24"/>
              </w:rPr>
              <w:lastRenderedPageBreak/>
              <w:t>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15BAA257"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bezpłatnie pomagający osobie prowadzącej działalność członek rodziny uznawany jest za „osobę prowadzącą działalność na własny rachunek”.</w:t>
            </w:r>
          </w:p>
          <w:p w14:paraId="7D726899" w14:textId="2EAEF364"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osoby przebywające na urlopie macierzyńskim/ rodzicielskim/ wychowawczym (którego warunki są uregulowane w Kodeksie Pracy), chyba że są zarejestrowane już jako bezrobotne (wówczas status bezrobotnego ma pierwszeństwo),</w:t>
            </w:r>
          </w:p>
          <w:p w14:paraId="2923B32A"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studenci, którzy są zatrudnieni lub prowadzą działalność gospodarczą</w:t>
            </w:r>
          </w:p>
          <w:p w14:paraId="599D1637"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osoby skierowane do odbycia zatrudnienia subsydiowanego.</w:t>
            </w:r>
          </w:p>
          <w:p w14:paraId="60C9898E"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p>
          <w:p w14:paraId="224224F5" w14:textId="224F8C63"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Wskaźnik należy rozumieć jako zmianę statusu na rynku pracy po opuszczeniu programu, w stosunku do sytuacji w momencie przystąpienia do interwencji EFS+ (uczestnik bezrobotny lub bierny zawodowo w chwili wejścia do programu EFS+, a w ciągu czterech tygodni po opuszczeniu projektu – osoba pracująca). </w:t>
            </w:r>
          </w:p>
          <w:p w14:paraId="07334660" w14:textId="5E90963B" w:rsidR="00D80A84" w:rsidRPr="00966C1A" w:rsidRDefault="00D80A84" w:rsidP="00D80A84">
            <w:pPr>
              <w:autoSpaceDE w:val="0"/>
              <w:autoSpaceDN w:val="0"/>
              <w:adjustRightInd w:val="0"/>
              <w:spacing w:before="120" w:afterLines="120" w:after="288" w:line="276" w:lineRule="auto"/>
              <w:rPr>
                <w:rFonts w:ascii="Arial" w:hAnsi="Arial" w:cs="Arial"/>
                <w:noProof/>
                <w:sz w:val="24"/>
                <w:szCs w:val="24"/>
              </w:rPr>
            </w:pPr>
            <w:r w:rsidRPr="00966C1A">
              <w:rPr>
                <w:rFonts w:ascii="Arial" w:hAnsi="Arial" w:cs="Arial"/>
                <w:noProof/>
                <w:sz w:val="24"/>
                <w:szCs w:val="24"/>
              </w:rPr>
              <w:t>Wskaźnik mierzony do czterech tygodni od zakończenia przez uczestnika udziału w projekcie. Tym samym, we wskaźniku należy uwzględniać wszystkie osoby, które w okresie do czterech tygodni po zakończeniu udziału w projekcie podjęły zatrudnienie.</w:t>
            </w:r>
          </w:p>
        </w:tc>
        <w:tc>
          <w:tcPr>
            <w:tcW w:w="3908" w:type="dxa"/>
          </w:tcPr>
          <w:p w14:paraId="61958BC4" w14:textId="1F0D60B0"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xml:space="preserve">Źródła danych do pomiaru: </w:t>
            </w:r>
            <w:r w:rsidRPr="00966C1A">
              <w:rPr>
                <w:rFonts w:ascii="Arial" w:hAnsi="Arial" w:cs="Arial"/>
                <w:noProof/>
                <w:sz w:val="24"/>
                <w:szCs w:val="24"/>
              </w:rPr>
              <w:br/>
              <w:t xml:space="preserve">kopie umów o pracę, kopie umów cywilnoprawnych, dokumenty potwierdzające fakt prowadzenia działalności gospodarczej po zakończeniu udziału w projekcie, np. dowód opłacenia składek, </w:t>
            </w:r>
            <w:r w:rsidRPr="00966C1A">
              <w:rPr>
                <w:rFonts w:ascii="Arial" w:hAnsi="Arial" w:cs="Arial"/>
                <w:noProof/>
                <w:sz w:val="24"/>
                <w:szCs w:val="24"/>
              </w:rPr>
              <w:lastRenderedPageBreak/>
              <w:t xml:space="preserve">wydruk z CEIDG lub zaświadczenia z ZUS, US. </w:t>
            </w:r>
          </w:p>
          <w:p w14:paraId="551F86BF" w14:textId="411FC1DC" w:rsidR="00D80A84" w:rsidRPr="00966C1A" w:rsidRDefault="00D80A84" w:rsidP="00D80A84">
            <w:pPr>
              <w:autoSpaceDE w:val="0"/>
              <w:autoSpaceDN w:val="0"/>
              <w:adjustRightInd w:val="0"/>
              <w:spacing w:before="120" w:afterLines="120" w:after="288" w:line="276" w:lineRule="auto"/>
              <w:rPr>
                <w:rFonts w:ascii="Arial" w:hAnsi="Arial" w:cs="Arial"/>
                <w:noProof/>
                <w:sz w:val="24"/>
                <w:szCs w:val="24"/>
              </w:rPr>
            </w:pPr>
            <w:r w:rsidRPr="00966C1A">
              <w:rPr>
                <w:rFonts w:ascii="Arial" w:hAnsi="Arial" w:cs="Arial"/>
                <w:noProof/>
                <w:sz w:val="24"/>
                <w:szCs w:val="24"/>
              </w:rPr>
              <w:t>Moment pomiaru: w ciągu 4 tygodni od zakończenia udziału w projekcie</w:t>
            </w:r>
          </w:p>
        </w:tc>
      </w:tr>
      <w:tr w:rsidR="00D80A84" w:rsidRPr="00966C1A" w14:paraId="5F0157F5" w14:textId="77777777" w:rsidTr="00C6458A">
        <w:tc>
          <w:tcPr>
            <w:tcW w:w="507" w:type="dxa"/>
          </w:tcPr>
          <w:p w14:paraId="3D4134D2" w14:textId="0750ABE6" w:rsidR="00D80A84" w:rsidRPr="00966C1A" w:rsidRDefault="00D80A84" w:rsidP="00D80A84">
            <w:pPr>
              <w:autoSpaceDE w:val="0"/>
              <w:autoSpaceDN w:val="0"/>
              <w:adjustRightInd w:val="0"/>
              <w:spacing w:before="120" w:afterLines="120" w:after="288" w:line="276" w:lineRule="auto"/>
              <w:jc w:val="both"/>
              <w:rPr>
                <w:rFonts w:ascii="Arial" w:hAnsi="Arial" w:cs="Arial"/>
                <w:noProof/>
                <w:sz w:val="24"/>
                <w:szCs w:val="24"/>
              </w:rPr>
            </w:pPr>
            <w:r w:rsidRPr="00966C1A">
              <w:rPr>
                <w:rFonts w:ascii="Arial" w:hAnsi="Arial" w:cs="Arial"/>
                <w:noProof/>
                <w:sz w:val="24"/>
                <w:szCs w:val="24"/>
              </w:rPr>
              <w:lastRenderedPageBreak/>
              <w:t>4</w:t>
            </w:r>
          </w:p>
        </w:tc>
        <w:tc>
          <w:tcPr>
            <w:tcW w:w="3032" w:type="dxa"/>
          </w:tcPr>
          <w:p w14:paraId="09944412" w14:textId="39B572FA" w:rsidR="00D80A84" w:rsidRPr="00966C1A" w:rsidRDefault="00D80A84" w:rsidP="00D80A84">
            <w:pPr>
              <w:autoSpaceDE w:val="0"/>
              <w:autoSpaceDN w:val="0"/>
              <w:adjustRightInd w:val="0"/>
              <w:spacing w:before="120" w:afterLines="120" w:after="288" w:line="276" w:lineRule="auto"/>
              <w:rPr>
                <w:rFonts w:ascii="Arial" w:hAnsi="Arial" w:cs="Arial"/>
                <w:sz w:val="24"/>
                <w:szCs w:val="24"/>
              </w:rPr>
            </w:pPr>
            <w:r w:rsidRPr="00966C1A">
              <w:rPr>
                <w:rFonts w:ascii="Arial" w:hAnsi="Arial" w:cs="Arial"/>
                <w:noProof/>
                <w:sz w:val="24"/>
                <w:szCs w:val="24"/>
              </w:rPr>
              <w:t>WLWK-EECR03 - Liczba osób, które uzyskały kwalifikacje po opuszczeniu programu</w:t>
            </w:r>
          </w:p>
        </w:tc>
        <w:tc>
          <w:tcPr>
            <w:tcW w:w="6547" w:type="dxa"/>
          </w:tcPr>
          <w:p w14:paraId="720D9A16"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Do wskaźnika wlicza się osoby, które otrzymały wsparcie EFS+ i uzyskały kwalifikacje lub kompetencje po opuszczeniu projektu. </w:t>
            </w:r>
          </w:p>
          <w:p w14:paraId="0EDD25C5"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i/>
                <w:iCs/>
                <w:noProof/>
                <w:sz w:val="24"/>
                <w:szCs w:val="24"/>
              </w:rPr>
              <w:t xml:space="preserve">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t>
            </w:r>
            <w:r w:rsidRPr="00966C1A">
              <w:rPr>
                <w:rFonts w:ascii="Arial" w:hAnsi="Arial" w:cs="Arial"/>
                <w:i/>
                <w:iCs/>
                <w:noProof/>
                <w:sz w:val="24"/>
                <w:szCs w:val="24"/>
              </w:rPr>
              <w:lastRenderedPageBreak/>
              <w:t>walidacji oraz formalnie potwierdzone przez instytucję uprawnioną do certyfikowania</w:t>
            </w:r>
            <w:r w:rsidRPr="00966C1A">
              <w:rPr>
                <w:rFonts w:ascii="Arial" w:hAnsi="Arial" w:cs="Arial"/>
                <w:noProof/>
                <w:sz w:val="24"/>
                <w:szCs w:val="24"/>
              </w:rPr>
              <w:t>.</w:t>
            </w:r>
          </w:p>
          <w:p w14:paraId="54FEC012"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Kwalifikacje mogą być nadawane przez: </w:t>
            </w:r>
          </w:p>
          <w:p w14:paraId="4C1B53A5" w14:textId="764CE41F" w:rsidR="00D80A84" w:rsidRPr="00966C1A" w:rsidRDefault="00D80A84" w:rsidP="00D80A84">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podmioty uprawnione do realizacji procesów walidacji i certyfikowania zgodnie z ustawą z dnia </w:t>
            </w:r>
            <w:r w:rsidR="00F25883">
              <w:rPr>
                <w:rFonts w:ascii="Arial" w:hAnsi="Arial" w:cs="Arial"/>
                <w:noProof/>
                <w:sz w:val="24"/>
                <w:szCs w:val="24"/>
              </w:rPr>
              <w:br/>
            </w:r>
            <w:r w:rsidRPr="00966C1A">
              <w:rPr>
                <w:rFonts w:ascii="Arial" w:hAnsi="Arial" w:cs="Arial"/>
                <w:noProof/>
                <w:sz w:val="24"/>
                <w:szCs w:val="24"/>
              </w:rPr>
              <w:t>22 grudnia 2015 r. o Zintegrowanym Systemie Kwalifikacji,</w:t>
            </w:r>
          </w:p>
          <w:p w14:paraId="4F64CA5D" w14:textId="77777777" w:rsidR="00D80A84" w:rsidRPr="00966C1A" w:rsidRDefault="00D80A84" w:rsidP="00D80A84">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podmioty uprawnione do realizacji procesów walidacji i certyfikowania na mocy innych przepisów prawa,</w:t>
            </w:r>
          </w:p>
          <w:p w14:paraId="68B4416D" w14:textId="77777777" w:rsidR="00D80A84" w:rsidRPr="00966C1A" w:rsidRDefault="00D80A84" w:rsidP="00D80A84">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podmioty uprawnione do wydawania dokumentów potwierdzających uzyskanie kwalifikacji, w tym w zawodzie,</w:t>
            </w:r>
          </w:p>
          <w:p w14:paraId="663EE529" w14:textId="77777777" w:rsidR="00D80A84" w:rsidRPr="00966C1A" w:rsidRDefault="00D80A84" w:rsidP="00D80A84">
            <w:pPr>
              <w:pStyle w:val="Akapitzlist"/>
              <w:numPr>
                <w:ilvl w:val="0"/>
                <w:numId w:val="36"/>
              </w:num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organy władz publicznych lub samorządów zawodowych, uprawnione do wydawania dokumentów potwierdzających kwalifikację na podstawie ustawy lub rozporządzenia.</w:t>
            </w:r>
          </w:p>
          <w:p w14:paraId="15EA4BAF"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w:t>
            </w:r>
            <w:r w:rsidRPr="00966C1A">
              <w:rPr>
                <w:rFonts w:ascii="Arial" w:hAnsi="Arial" w:cs="Arial"/>
                <w:noProof/>
                <w:sz w:val="24"/>
                <w:szCs w:val="24"/>
              </w:rPr>
              <w:lastRenderedPageBreak/>
              <w:t>Ponadto, pomimo braku regulacji ze strony państwa polskiego, kwalifikacjami są również certyfikaty, dla których wypracowano już system walidacji i certyfikowania efektów uczenia się na poziomie międzynarodowym.</w:t>
            </w:r>
          </w:p>
          <w:p w14:paraId="586640BB"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p>
          <w:p w14:paraId="65CE1CB3"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Fakt nabycia kompetencji jest weryfikowany w ramach następujących etapów: </w:t>
            </w:r>
          </w:p>
          <w:p w14:paraId="2F2FE5E8"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5B93B7D1"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w:t>
            </w:r>
            <w:r w:rsidRPr="00966C1A">
              <w:rPr>
                <w:rFonts w:ascii="Arial" w:hAnsi="Arial" w:cs="Arial"/>
                <w:noProof/>
                <w:sz w:val="24"/>
                <w:szCs w:val="24"/>
              </w:rPr>
              <w:lastRenderedPageBreak/>
              <w:t>Informacje wymagane w etapie II powinny zostać zdefiniowane w programie zajęć/kursu/szkolenia itp. oraz w wydawanym uczestnikowi dokumencie potwierdzającym uzyskanie kompetencji (np. jako załącznik do zaświadczenia/dyplomu/certyfikatu itp.).</w:t>
            </w:r>
          </w:p>
          <w:p w14:paraId="4CFFB227"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08626B39"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42B81025"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Przez efekty uczenia się należy rozumieć wiedzę, umiejętności oraz kompetencje społeczne nabyte w edukacji formalnej, edukacji pozaformalnej lub poprzez </w:t>
            </w:r>
            <w:r w:rsidRPr="00966C1A">
              <w:rPr>
                <w:rFonts w:ascii="Arial" w:hAnsi="Arial" w:cs="Arial"/>
                <w:noProof/>
                <w:sz w:val="24"/>
                <w:szCs w:val="24"/>
              </w:rPr>
              <w:lastRenderedPageBreak/>
              <w:t>uczenie się nieformalne, zgodne z ustalonymi dla danej kwalifikacji lub kompetencji wymaganiami.</w:t>
            </w:r>
          </w:p>
          <w:p w14:paraId="2A503C40"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Wykazywać należy wyłącznie kwalifikacje lub kompetencje osiągnięte w wyniku udziału w projekcie EFS+. Powinny one być wykazywane tylko raz dla uczestnika/projektu.</w:t>
            </w:r>
          </w:p>
          <w:p w14:paraId="632430CD"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7E71023C"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804099C" w14:textId="506FA8DD" w:rsidR="00D80A84" w:rsidRPr="00966C1A" w:rsidRDefault="00D80A84" w:rsidP="00D80A84">
            <w:pPr>
              <w:spacing w:before="120" w:afterLines="120" w:after="288" w:line="276" w:lineRule="auto"/>
              <w:rPr>
                <w:rFonts w:ascii="Arial" w:hAnsi="Arial" w:cs="Arial"/>
                <w:sz w:val="24"/>
                <w:szCs w:val="24"/>
              </w:rPr>
            </w:pPr>
            <w:r w:rsidRPr="00966C1A">
              <w:rPr>
                <w:rFonts w:ascii="Arial" w:hAnsi="Arial" w:cs="Arial"/>
                <w:noProof/>
                <w:sz w:val="24"/>
                <w:szCs w:val="24"/>
              </w:rPr>
              <w:t xml:space="preserve">Dodatkowe informacje na temat monitorowania uzyskiwania kwalifikacji i kompetencji w ramach projektów współfinansowanych z EFS+ zawarte są w załączniku nr 2 do Wytycznych w zakresie monitorowania postępu </w:t>
            </w:r>
            <w:r w:rsidRPr="00966C1A">
              <w:rPr>
                <w:rFonts w:ascii="Arial" w:hAnsi="Arial" w:cs="Arial"/>
                <w:noProof/>
                <w:sz w:val="24"/>
                <w:szCs w:val="24"/>
              </w:rPr>
              <w:lastRenderedPageBreak/>
              <w:t>rzeczowego realizacji programów operacyjnych na lata 2021-2027.</w:t>
            </w:r>
          </w:p>
        </w:tc>
        <w:tc>
          <w:tcPr>
            <w:tcW w:w="3908" w:type="dxa"/>
          </w:tcPr>
          <w:p w14:paraId="647B472F" w14:textId="77777777" w:rsidR="00D80A84" w:rsidRPr="00966C1A" w:rsidRDefault="00D80A84" w:rsidP="00D80A8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xml:space="preserve">Źródła danych do pomiaru: dokumenty potwierdzające uzyskanie kwalifikacji lub kompetencji. </w:t>
            </w:r>
          </w:p>
          <w:p w14:paraId="6DF15972" w14:textId="6866BB26" w:rsidR="00D80A84" w:rsidRPr="00966C1A" w:rsidRDefault="00D80A84" w:rsidP="00D80A84">
            <w:pPr>
              <w:autoSpaceDE w:val="0"/>
              <w:autoSpaceDN w:val="0"/>
              <w:adjustRightInd w:val="0"/>
              <w:spacing w:before="120" w:afterLines="120" w:after="288" w:line="276" w:lineRule="auto"/>
              <w:rPr>
                <w:rFonts w:ascii="Arial" w:hAnsi="Arial" w:cs="Arial"/>
                <w:noProof/>
                <w:color w:val="000000" w:themeColor="text1"/>
                <w:sz w:val="24"/>
                <w:szCs w:val="24"/>
              </w:rPr>
            </w:pPr>
            <w:r w:rsidRPr="00966C1A">
              <w:rPr>
                <w:rFonts w:ascii="Arial" w:hAnsi="Arial" w:cs="Arial"/>
                <w:noProof/>
                <w:sz w:val="24"/>
                <w:szCs w:val="24"/>
              </w:rPr>
              <w:t>Moment pomiaru: w ciągu 4 tygodni od zakończenia udziału w projekcie.</w:t>
            </w:r>
          </w:p>
        </w:tc>
      </w:tr>
    </w:tbl>
    <w:bookmarkEnd w:id="1"/>
    <w:p w14:paraId="4C1FE366" w14:textId="0B9ACF38" w:rsidR="00C67F8E" w:rsidRPr="00986B49" w:rsidRDefault="00AC3EFE" w:rsidP="00986B49">
      <w:pPr>
        <w:pStyle w:val="Nagwek1"/>
        <w:rPr>
          <w:rFonts w:ascii="Arial" w:hAnsi="Arial" w:cs="Arial"/>
          <w:b/>
          <w:bCs/>
          <w:noProof/>
          <w:color w:val="4472C4" w:themeColor="accent1"/>
        </w:rPr>
      </w:pPr>
      <w:r w:rsidRPr="00986B49">
        <w:rPr>
          <w:rFonts w:ascii="Arial" w:hAnsi="Arial" w:cs="Arial"/>
          <w:b/>
          <w:bCs/>
          <w:noProof/>
          <w:color w:val="4472C4" w:themeColor="accent1"/>
        </w:rPr>
        <w:lastRenderedPageBreak/>
        <w:t>Wskaźniki wspólne dla wszystkich działań w ramach Priorytetu 8 FEdKP 2021-2027</w:t>
      </w:r>
    </w:p>
    <w:p w14:paraId="6424DDFA" w14:textId="75649ED4" w:rsidR="00986B49" w:rsidRPr="00986B49" w:rsidRDefault="00AC3EFE" w:rsidP="00986B49">
      <w:pPr>
        <w:pStyle w:val="Nagwek2"/>
        <w:rPr>
          <w:rFonts w:ascii="Arial" w:hAnsi="Arial" w:cs="Arial"/>
          <w:noProof/>
          <w:color w:val="4472C4" w:themeColor="accent1"/>
        </w:rPr>
      </w:pPr>
      <w:r w:rsidRPr="00986B49">
        <w:rPr>
          <w:rFonts w:ascii="Arial" w:hAnsi="Arial" w:cs="Arial"/>
          <w:noProof/>
          <w:color w:val="4472C4" w:themeColor="accent1"/>
        </w:rPr>
        <w:t>Wskaźniki LWK mierzone we wszystkich celach szczegółowych</w:t>
      </w:r>
    </w:p>
    <w:p w14:paraId="1D594834" w14:textId="0533A672" w:rsidR="00AC3EFE" w:rsidRPr="00986B49" w:rsidRDefault="00AC3EFE" w:rsidP="00986B49">
      <w:pPr>
        <w:pStyle w:val="Nagwek3"/>
        <w:spacing w:before="240"/>
        <w:rPr>
          <w:rFonts w:ascii="Arial" w:hAnsi="Arial" w:cs="Arial"/>
          <w:noProof/>
          <w:color w:val="4472C4" w:themeColor="accent1"/>
        </w:rPr>
      </w:pPr>
      <w:r w:rsidRPr="00986B49">
        <w:rPr>
          <w:rFonts w:ascii="Arial" w:hAnsi="Arial" w:cs="Arial"/>
          <w:noProof/>
          <w:color w:val="4472C4" w:themeColor="accent1"/>
        </w:rPr>
        <w:t>Wskaźniki produktu</w:t>
      </w:r>
    </w:p>
    <w:tbl>
      <w:tblPr>
        <w:tblStyle w:val="Tabela-Siatka"/>
        <w:tblW w:w="0" w:type="auto"/>
        <w:tblLook w:val="04A0" w:firstRow="1" w:lastRow="0" w:firstColumn="1" w:lastColumn="0" w:noHBand="0" w:noVBand="1"/>
      </w:tblPr>
      <w:tblGrid>
        <w:gridCol w:w="698"/>
        <w:gridCol w:w="2841"/>
        <w:gridCol w:w="6521"/>
        <w:gridCol w:w="3934"/>
      </w:tblGrid>
      <w:tr w:rsidR="00C67F8E" w:rsidRPr="00966C1A" w14:paraId="2E356A96" w14:textId="77777777" w:rsidTr="00486A58">
        <w:tc>
          <w:tcPr>
            <w:tcW w:w="698" w:type="dxa"/>
          </w:tcPr>
          <w:p w14:paraId="495FE1EF" w14:textId="77777777" w:rsidR="00C67F8E" w:rsidRPr="00966C1A" w:rsidRDefault="00C67F8E" w:rsidP="00B958AB">
            <w:pPr>
              <w:autoSpaceDE w:val="0"/>
              <w:autoSpaceDN w:val="0"/>
              <w:adjustRightInd w:val="0"/>
              <w:spacing w:before="240" w:line="276" w:lineRule="auto"/>
              <w:jc w:val="both"/>
              <w:rPr>
                <w:rFonts w:ascii="Arial" w:hAnsi="Arial" w:cs="Arial"/>
                <w:b/>
                <w:bCs/>
                <w:noProof/>
                <w:sz w:val="24"/>
                <w:szCs w:val="24"/>
              </w:rPr>
            </w:pPr>
            <w:r w:rsidRPr="00966C1A">
              <w:rPr>
                <w:rFonts w:ascii="Arial" w:hAnsi="Arial" w:cs="Arial"/>
                <w:b/>
                <w:bCs/>
                <w:noProof/>
                <w:sz w:val="24"/>
                <w:szCs w:val="24"/>
              </w:rPr>
              <w:t>Nr</w:t>
            </w:r>
          </w:p>
        </w:tc>
        <w:tc>
          <w:tcPr>
            <w:tcW w:w="2841" w:type="dxa"/>
          </w:tcPr>
          <w:p w14:paraId="7E6B6AE2" w14:textId="77777777" w:rsidR="00C67F8E" w:rsidRPr="00966C1A" w:rsidRDefault="00C67F8E" w:rsidP="00B958AB">
            <w:pPr>
              <w:autoSpaceDE w:val="0"/>
              <w:autoSpaceDN w:val="0"/>
              <w:adjustRightInd w:val="0"/>
              <w:spacing w:before="240" w:line="276" w:lineRule="auto"/>
              <w:jc w:val="both"/>
              <w:rPr>
                <w:rFonts w:ascii="Arial" w:hAnsi="Arial" w:cs="Arial"/>
                <w:b/>
                <w:bCs/>
                <w:noProof/>
                <w:sz w:val="24"/>
                <w:szCs w:val="24"/>
              </w:rPr>
            </w:pPr>
            <w:r w:rsidRPr="00966C1A">
              <w:rPr>
                <w:rFonts w:ascii="Arial" w:hAnsi="Arial" w:cs="Arial"/>
                <w:b/>
                <w:bCs/>
                <w:noProof/>
                <w:sz w:val="24"/>
                <w:szCs w:val="24"/>
              </w:rPr>
              <w:t>Kod i nazwa</w:t>
            </w:r>
          </w:p>
        </w:tc>
        <w:tc>
          <w:tcPr>
            <w:tcW w:w="6521" w:type="dxa"/>
          </w:tcPr>
          <w:p w14:paraId="79F050DE" w14:textId="77777777" w:rsidR="00C67F8E" w:rsidRPr="00966C1A" w:rsidRDefault="00C67F8E" w:rsidP="00B958AB">
            <w:pPr>
              <w:autoSpaceDE w:val="0"/>
              <w:autoSpaceDN w:val="0"/>
              <w:adjustRightInd w:val="0"/>
              <w:spacing w:before="240" w:line="276" w:lineRule="auto"/>
              <w:jc w:val="both"/>
              <w:rPr>
                <w:rFonts w:ascii="Arial" w:hAnsi="Arial" w:cs="Arial"/>
                <w:b/>
                <w:bCs/>
                <w:noProof/>
                <w:sz w:val="24"/>
                <w:szCs w:val="24"/>
              </w:rPr>
            </w:pPr>
            <w:r w:rsidRPr="00966C1A">
              <w:rPr>
                <w:rFonts w:ascii="Arial" w:hAnsi="Arial" w:cs="Arial"/>
                <w:b/>
                <w:bCs/>
                <w:noProof/>
                <w:sz w:val="24"/>
                <w:szCs w:val="24"/>
              </w:rPr>
              <w:t>Definicja</w:t>
            </w:r>
          </w:p>
        </w:tc>
        <w:tc>
          <w:tcPr>
            <w:tcW w:w="3934" w:type="dxa"/>
          </w:tcPr>
          <w:p w14:paraId="135B3CBA" w14:textId="77777777" w:rsidR="00C67F8E" w:rsidRPr="00966C1A" w:rsidRDefault="00C67F8E" w:rsidP="00B958AB">
            <w:pPr>
              <w:autoSpaceDE w:val="0"/>
              <w:autoSpaceDN w:val="0"/>
              <w:adjustRightInd w:val="0"/>
              <w:spacing w:before="240" w:line="276" w:lineRule="auto"/>
              <w:rPr>
                <w:rFonts w:ascii="Arial" w:hAnsi="Arial" w:cs="Arial"/>
                <w:b/>
                <w:bCs/>
                <w:noProof/>
                <w:sz w:val="24"/>
                <w:szCs w:val="24"/>
              </w:rPr>
            </w:pPr>
            <w:r w:rsidRPr="00966C1A">
              <w:rPr>
                <w:rFonts w:ascii="Arial" w:hAnsi="Arial" w:cs="Arial"/>
                <w:b/>
                <w:bCs/>
                <w:noProof/>
                <w:sz w:val="24"/>
                <w:szCs w:val="24"/>
              </w:rPr>
              <w:t>Rekomendowane źródła danych do pomiaru wskaźników i moment pomiaru</w:t>
            </w:r>
          </w:p>
        </w:tc>
      </w:tr>
      <w:tr w:rsidR="00C67F8E" w:rsidRPr="00966C1A" w14:paraId="66C1B205" w14:textId="77777777" w:rsidTr="00486A58">
        <w:tc>
          <w:tcPr>
            <w:tcW w:w="698" w:type="dxa"/>
          </w:tcPr>
          <w:p w14:paraId="3BF374B2" w14:textId="1A8B6830"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1</w:t>
            </w:r>
          </w:p>
        </w:tc>
        <w:tc>
          <w:tcPr>
            <w:tcW w:w="2841" w:type="dxa"/>
          </w:tcPr>
          <w:p w14:paraId="05D093F4" w14:textId="6D7D3470" w:rsidR="00C67F8E" w:rsidRPr="00966C1A" w:rsidRDefault="007A4174"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WLWK-</w:t>
            </w:r>
            <w:r w:rsidR="00C67F8E" w:rsidRPr="00966C1A">
              <w:rPr>
                <w:rFonts w:ascii="Arial" w:hAnsi="Arial" w:cs="Arial"/>
                <w:noProof/>
                <w:sz w:val="24"/>
                <w:szCs w:val="24"/>
              </w:rPr>
              <w:t>PL0CO01</w:t>
            </w:r>
            <w:r w:rsidR="00C67F8E" w:rsidRPr="00966C1A">
              <w:rPr>
                <w:rFonts w:ascii="Arial" w:hAnsi="Arial" w:cs="Arial"/>
                <w:noProof/>
                <w:sz w:val="24"/>
                <w:szCs w:val="24"/>
              </w:rPr>
              <w:br/>
              <w:t>Liczba projektów, w których sfinansowano koszty racjonalnych usprawnień dla osób z niepełnosprawnościami</w:t>
            </w:r>
          </w:p>
        </w:tc>
        <w:tc>
          <w:tcPr>
            <w:tcW w:w="6521" w:type="dxa"/>
          </w:tcPr>
          <w:p w14:paraId="0085C019" w14:textId="2D053EDD" w:rsidR="00A57E01" w:rsidRPr="00966C1A" w:rsidRDefault="00A57E01" w:rsidP="00A57E0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r w:rsidR="00B96425" w:rsidRPr="00966C1A">
              <w:rPr>
                <w:rFonts w:ascii="Arial" w:hAnsi="Arial" w:cs="Arial"/>
                <w:noProof/>
                <w:sz w:val="24"/>
                <w:szCs w:val="24"/>
              </w:rPr>
              <w:t>.</w:t>
            </w:r>
          </w:p>
          <w:p w14:paraId="26272CB7" w14:textId="77777777" w:rsidR="00A57E01" w:rsidRPr="00966C1A" w:rsidRDefault="00A57E01" w:rsidP="00A57E0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Wskaźnik mierzony jest w momencie rozliczenia wydatku związanego z racjonalnymi usprawnieniami w ramach </w:t>
            </w:r>
            <w:r w:rsidRPr="00966C1A">
              <w:rPr>
                <w:rFonts w:ascii="Arial" w:hAnsi="Arial" w:cs="Arial"/>
                <w:noProof/>
                <w:sz w:val="24"/>
                <w:szCs w:val="24"/>
              </w:rPr>
              <w:lastRenderedPageBreak/>
              <w:t>danego projektu. Tym samym, jego wartość początkowa wynosi 0.</w:t>
            </w:r>
          </w:p>
          <w:p w14:paraId="47EB33B6" w14:textId="7E8059DF" w:rsidR="00A57E01" w:rsidRPr="00966C1A" w:rsidRDefault="00A57E01" w:rsidP="00A57E0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p>
          <w:p w14:paraId="252B9A2F" w14:textId="77777777" w:rsidR="00A57E01" w:rsidRPr="00966C1A" w:rsidRDefault="00A57E01" w:rsidP="00A57E0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Do wskaźnika powinny zostać wliczone zarówno projekty ogólnodostępne, w których sfinansowano koszty racjonalnych usprawnień, jak i te ukierunkowane na zwalczanie i zapobieganie wszelkim formom dyskryminacji w stosunku do osób na nią narażonych, a także zwiększanie dostępności dla osób z niepełnosprawnościami. </w:t>
            </w:r>
          </w:p>
          <w:p w14:paraId="14C6BCC4" w14:textId="77777777" w:rsidR="00A57E01" w:rsidRPr="00966C1A" w:rsidRDefault="00A57E01" w:rsidP="00A57E0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3D495EF4" w:rsidR="00C67F8E" w:rsidRPr="00966C1A" w:rsidRDefault="00A57E01" w:rsidP="00A57E0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Definicja na podstawie: Wytyczne w zakresie realizacji zasad równościowych w ramach funduszy unijnych na lata 2021-2027</w:t>
            </w:r>
            <w:r w:rsidR="00B96425" w:rsidRPr="00966C1A">
              <w:rPr>
                <w:rFonts w:ascii="Arial" w:hAnsi="Arial" w:cs="Arial"/>
                <w:noProof/>
                <w:sz w:val="24"/>
                <w:szCs w:val="24"/>
              </w:rPr>
              <w:t>.</w:t>
            </w:r>
          </w:p>
        </w:tc>
        <w:tc>
          <w:tcPr>
            <w:tcW w:w="3934" w:type="dxa"/>
          </w:tcPr>
          <w:p w14:paraId="032E1C06" w14:textId="22F12834" w:rsidR="009A31B8" w:rsidRPr="00966C1A" w:rsidRDefault="009A31B8"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xml:space="preserve">Źródła danych do pomiaru: </w:t>
            </w:r>
            <w:r w:rsidR="00CD1DC7" w:rsidRPr="00966C1A">
              <w:rPr>
                <w:rFonts w:ascii="Arial" w:hAnsi="Arial" w:cs="Arial"/>
                <w:color w:val="000000" w:themeColor="text1"/>
                <w:sz w:val="24"/>
                <w:szCs w:val="24"/>
              </w:rPr>
              <w:br/>
            </w:r>
            <w:r w:rsidRPr="00966C1A">
              <w:rPr>
                <w:rFonts w:ascii="Arial" w:hAnsi="Arial" w:cs="Arial"/>
                <w:color w:val="000000" w:themeColor="text1"/>
                <w:sz w:val="24"/>
                <w:szCs w:val="24"/>
              </w:rPr>
              <w:t>umowy i inne dokumenty potwierdzające wprowadzenie racjonalnych usprawnień, np. protok</w:t>
            </w:r>
            <w:r w:rsidR="00C711EA" w:rsidRPr="00966C1A">
              <w:rPr>
                <w:rFonts w:ascii="Arial" w:hAnsi="Arial" w:cs="Arial"/>
                <w:color w:val="000000" w:themeColor="text1"/>
                <w:sz w:val="24"/>
                <w:szCs w:val="24"/>
              </w:rPr>
              <w:t>ół</w:t>
            </w:r>
            <w:r w:rsidRPr="00966C1A">
              <w:rPr>
                <w:rFonts w:ascii="Arial" w:hAnsi="Arial" w:cs="Arial"/>
                <w:color w:val="000000" w:themeColor="text1"/>
                <w:sz w:val="24"/>
                <w:szCs w:val="24"/>
              </w:rPr>
              <w:t xml:space="preserve"> odbioru usługi, protokół zdawczo-odbiorczy i/lub protokół odbioru robót.</w:t>
            </w:r>
          </w:p>
          <w:p w14:paraId="60BDA722" w14:textId="2B419507" w:rsidR="00C67F8E" w:rsidRPr="00966C1A" w:rsidRDefault="00A25C81"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 xml:space="preserve">Moment pomiaru: w momencie rozliczenia wydatku </w:t>
            </w:r>
            <w:r w:rsidR="00126C9B" w:rsidRPr="00966C1A">
              <w:rPr>
                <w:rFonts w:ascii="Arial" w:hAnsi="Arial" w:cs="Arial"/>
                <w:color w:val="000000" w:themeColor="text1"/>
                <w:sz w:val="24"/>
                <w:szCs w:val="24"/>
              </w:rPr>
              <w:t>związanego z racjonalnymi usprawnieniami w ramach danego projektu.</w:t>
            </w:r>
          </w:p>
        </w:tc>
      </w:tr>
      <w:tr w:rsidR="00C67F8E" w:rsidRPr="00966C1A" w14:paraId="66ED5FFC" w14:textId="77777777" w:rsidTr="00486A58">
        <w:tc>
          <w:tcPr>
            <w:tcW w:w="698" w:type="dxa"/>
          </w:tcPr>
          <w:p w14:paraId="2FD74E85" w14:textId="7128B035"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2</w:t>
            </w:r>
          </w:p>
        </w:tc>
        <w:tc>
          <w:tcPr>
            <w:tcW w:w="2841" w:type="dxa"/>
          </w:tcPr>
          <w:p w14:paraId="71EC22F3" w14:textId="712186ED" w:rsidR="00C67F8E" w:rsidRPr="00966C1A" w:rsidRDefault="007A4174"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WLWK-</w:t>
            </w:r>
            <w:r w:rsidR="00C67F8E" w:rsidRPr="00966C1A">
              <w:rPr>
                <w:rFonts w:ascii="Arial" w:hAnsi="Arial" w:cs="Arial"/>
                <w:noProof/>
                <w:sz w:val="24"/>
                <w:szCs w:val="24"/>
              </w:rPr>
              <w:t>PL0CO02</w:t>
            </w:r>
            <w:r w:rsidR="00C67F8E" w:rsidRPr="00966C1A">
              <w:rPr>
                <w:rFonts w:ascii="Arial" w:hAnsi="Arial" w:cs="Arial"/>
                <w:noProof/>
                <w:sz w:val="24"/>
                <w:szCs w:val="24"/>
              </w:rPr>
              <w:br/>
              <w:t xml:space="preserve">Liczba obiektów </w:t>
            </w:r>
            <w:r w:rsidR="00C67F8E" w:rsidRPr="00966C1A">
              <w:rPr>
                <w:rFonts w:ascii="Arial" w:hAnsi="Arial" w:cs="Arial"/>
                <w:noProof/>
                <w:sz w:val="24"/>
                <w:szCs w:val="24"/>
              </w:rPr>
              <w:lastRenderedPageBreak/>
              <w:t>dostosowanych do potrzeb osób z niepełnosprawnościami</w:t>
            </w:r>
          </w:p>
        </w:tc>
        <w:tc>
          <w:tcPr>
            <w:tcW w:w="6521" w:type="dxa"/>
          </w:tcPr>
          <w:p w14:paraId="73EE3B6E" w14:textId="4CCCDF6F"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xml:space="preserve">Wskaźnik odnosi się do liczby obiektów w ramach realizowanego projektu, które zaopatrzono w specjalne </w:t>
            </w:r>
            <w:r w:rsidRPr="00966C1A">
              <w:rPr>
                <w:rFonts w:ascii="Arial" w:hAnsi="Arial" w:cs="Arial"/>
                <w:noProof/>
                <w:sz w:val="24"/>
                <w:szCs w:val="24"/>
              </w:rPr>
              <w:lastRenderedPageBreak/>
              <w:t>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156ADF1A" w14:textId="41E3549F"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3FFDB0E7" w14:textId="26A866FB"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7777777"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3934" w:type="dxa"/>
          </w:tcPr>
          <w:p w14:paraId="31D88AB9" w14:textId="6AA4732C" w:rsidR="009A31B8" w:rsidRPr="00966C1A" w:rsidRDefault="009A31B8"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Źródła danych do pomiaru: protok</w:t>
            </w:r>
            <w:r w:rsidR="00CD1D31" w:rsidRPr="00966C1A">
              <w:rPr>
                <w:rFonts w:ascii="Arial" w:hAnsi="Arial" w:cs="Arial"/>
                <w:color w:val="000000" w:themeColor="text1"/>
                <w:sz w:val="24"/>
                <w:szCs w:val="24"/>
              </w:rPr>
              <w:t>ół</w:t>
            </w:r>
            <w:r w:rsidRPr="00966C1A">
              <w:rPr>
                <w:rFonts w:ascii="Arial" w:hAnsi="Arial" w:cs="Arial"/>
                <w:color w:val="000000" w:themeColor="text1"/>
                <w:sz w:val="24"/>
                <w:szCs w:val="24"/>
              </w:rPr>
              <w:t xml:space="preserve"> odbioru usługi, protokół </w:t>
            </w:r>
            <w:r w:rsidRPr="00966C1A">
              <w:rPr>
                <w:rFonts w:ascii="Arial" w:hAnsi="Arial" w:cs="Arial"/>
                <w:color w:val="000000" w:themeColor="text1"/>
                <w:sz w:val="24"/>
                <w:szCs w:val="24"/>
              </w:rPr>
              <w:lastRenderedPageBreak/>
              <w:t>zdawczo-odbiorczy i/lub protokół odbioru robót.</w:t>
            </w:r>
          </w:p>
          <w:p w14:paraId="5E29068E" w14:textId="240D8F53" w:rsidR="00C67F8E" w:rsidRPr="00966C1A" w:rsidRDefault="00A25C81"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w:t>
            </w:r>
            <w:r w:rsidRPr="00966C1A">
              <w:rPr>
                <w:color w:val="000000" w:themeColor="text1"/>
              </w:rPr>
              <w:t xml:space="preserve"> </w:t>
            </w:r>
            <w:r w:rsidRPr="00966C1A">
              <w:rPr>
                <w:rFonts w:ascii="Arial" w:hAnsi="Arial" w:cs="Arial"/>
                <w:color w:val="000000" w:themeColor="text1"/>
                <w:sz w:val="24"/>
                <w:szCs w:val="24"/>
              </w:rPr>
              <w:t xml:space="preserve">w momencie rozliczenia wydatku związanego z </w:t>
            </w:r>
            <w:r w:rsidR="00486140" w:rsidRPr="00966C1A">
              <w:rPr>
                <w:rFonts w:ascii="Arial" w:hAnsi="Arial" w:cs="Arial"/>
                <w:color w:val="000000" w:themeColor="text1"/>
                <w:sz w:val="24"/>
                <w:szCs w:val="24"/>
              </w:rPr>
              <w:t>dostosowaniem/</w:t>
            </w:r>
            <w:r w:rsidRPr="00966C1A">
              <w:rPr>
                <w:rFonts w:ascii="Arial" w:hAnsi="Arial" w:cs="Arial"/>
                <w:color w:val="000000" w:themeColor="text1"/>
                <w:sz w:val="24"/>
                <w:szCs w:val="24"/>
              </w:rPr>
              <w:t>wyposażeniem obiektów w rozwiązania służące osobom z niepełnosprawnościami w ramach danego projektu.</w:t>
            </w:r>
          </w:p>
        </w:tc>
      </w:tr>
    </w:tbl>
    <w:p w14:paraId="3018A6E5" w14:textId="77777777" w:rsidR="00EC6267" w:rsidRDefault="00EC6267" w:rsidP="00D82FEB">
      <w:pPr>
        <w:spacing w:before="240" w:after="240" w:line="360" w:lineRule="auto"/>
        <w:rPr>
          <w:rFonts w:ascii="Arial" w:hAnsi="Arial" w:cs="Arial"/>
          <w:b/>
          <w:bCs/>
          <w:noProof/>
          <w:color w:val="2E74B5" w:themeColor="accent5" w:themeShade="BF"/>
          <w:sz w:val="28"/>
          <w:szCs w:val="28"/>
        </w:rPr>
      </w:pPr>
    </w:p>
    <w:p w14:paraId="4C66AEF9" w14:textId="77777777" w:rsidR="00EC6267" w:rsidRDefault="00EC6267" w:rsidP="00D82FEB">
      <w:pPr>
        <w:spacing w:before="240" w:after="240" w:line="360" w:lineRule="auto"/>
        <w:rPr>
          <w:rFonts w:ascii="Arial" w:hAnsi="Arial" w:cs="Arial"/>
          <w:b/>
          <w:bCs/>
          <w:noProof/>
          <w:color w:val="2E74B5" w:themeColor="accent5" w:themeShade="BF"/>
          <w:sz w:val="28"/>
          <w:szCs w:val="28"/>
        </w:rPr>
      </w:pPr>
    </w:p>
    <w:p w14:paraId="0CAA8963" w14:textId="77777777" w:rsidR="00EC6267" w:rsidRDefault="00EC6267" w:rsidP="00D82FEB">
      <w:pPr>
        <w:spacing w:before="240" w:after="240" w:line="360" w:lineRule="auto"/>
        <w:rPr>
          <w:rFonts w:ascii="Arial" w:hAnsi="Arial" w:cs="Arial"/>
          <w:b/>
          <w:bCs/>
          <w:noProof/>
          <w:color w:val="2E74B5" w:themeColor="accent5" w:themeShade="BF"/>
          <w:sz w:val="28"/>
          <w:szCs w:val="28"/>
        </w:rPr>
      </w:pPr>
    </w:p>
    <w:p w14:paraId="363CEF97" w14:textId="1A536731" w:rsidR="00C8383B" w:rsidRPr="0068130C" w:rsidRDefault="00C8383B" w:rsidP="00D82FEB">
      <w:pPr>
        <w:spacing w:before="240" w:after="240" w:line="360" w:lineRule="auto"/>
        <w:rPr>
          <w:rFonts w:ascii="Arial" w:hAnsi="Arial" w:cs="Arial"/>
          <w:b/>
          <w:bCs/>
          <w:noProof/>
          <w:color w:val="2E74B5" w:themeColor="accent5" w:themeShade="BF"/>
          <w:sz w:val="28"/>
          <w:szCs w:val="28"/>
        </w:rPr>
      </w:pPr>
      <w:r w:rsidRPr="0068130C">
        <w:rPr>
          <w:rFonts w:ascii="Arial" w:hAnsi="Arial" w:cs="Arial"/>
          <w:b/>
          <w:bCs/>
          <w:noProof/>
          <w:color w:val="2E74B5" w:themeColor="accent5" w:themeShade="BF"/>
          <w:sz w:val="28"/>
          <w:szCs w:val="28"/>
        </w:rPr>
        <w:lastRenderedPageBreak/>
        <w:t>Wskaźniki wspólne EFS+</w:t>
      </w:r>
      <w:r w:rsidRPr="0068130C">
        <w:rPr>
          <w:rFonts w:ascii="Arial" w:hAnsi="Arial" w:cs="Arial"/>
          <w:b/>
          <w:bCs/>
          <w:noProof/>
          <w:color w:val="2E74B5" w:themeColor="accent5" w:themeShade="BF"/>
          <w:sz w:val="28"/>
          <w:szCs w:val="28"/>
        </w:rPr>
        <w:br/>
        <w:t>Wspólne wskaźniki produktu dotyczące uczestników</w:t>
      </w:r>
    </w:p>
    <w:tbl>
      <w:tblPr>
        <w:tblStyle w:val="Tabela-Siatka"/>
        <w:tblW w:w="0" w:type="auto"/>
        <w:tblLook w:val="04A0" w:firstRow="1" w:lastRow="0" w:firstColumn="1" w:lastColumn="0" w:noHBand="0" w:noVBand="1"/>
      </w:tblPr>
      <w:tblGrid>
        <w:gridCol w:w="561"/>
        <w:gridCol w:w="2711"/>
        <w:gridCol w:w="6788"/>
        <w:gridCol w:w="3934"/>
      </w:tblGrid>
      <w:tr w:rsidR="007D48B3" w:rsidRPr="00966C1A" w14:paraId="3DECF8D4" w14:textId="77777777" w:rsidTr="00486A58">
        <w:trPr>
          <w:tblHeader/>
        </w:trPr>
        <w:tc>
          <w:tcPr>
            <w:tcW w:w="561" w:type="dxa"/>
          </w:tcPr>
          <w:p w14:paraId="7666E375" w14:textId="3D82EC96" w:rsidR="007D48B3" w:rsidRPr="00966C1A" w:rsidRDefault="007D48B3" w:rsidP="007D48B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Nr</w:t>
            </w:r>
          </w:p>
        </w:tc>
        <w:tc>
          <w:tcPr>
            <w:tcW w:w="2711" w:type="dxa"/>
          </w:tcPr>
          <w:p w14:paraId="6431022D" w14:textId="62BB03BE" w:rsidR="007D48B3" w:rsidRPr="00966C1A" w:rsidRDefault="007D48B3" w:rsidP="007D48B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Kod i nazwa</w:t>
            </w:r>
          </w:p>
        </w:tc>
        <w:tc>
          <w:tcPr>
            <w:tcW w:w="6788" w:type="dxa"/>
          </w:tcPr>
          <w:p w14:paraId="472D7028" w14:textId="3B8B7447" w:rsidR="007D48B3" w:rsidRPr="00966C1A" w:rsidRDefault="007D48B3" w:rsidP="007D48B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Definicja</w:t>
            </w:r>
          </w:p>
        </w:tc>
        <w:tc>
          <w:tcPr>
            <w:tcW w:w="3934" w:type="dxa"/>
          </w:tcPr>
          <w:p w14:paraId="35349961" w14:textId="6FF8A2FA" w:rsidR="007D48B3" w:rsidRPr="00966C1A" w:rsidRDefault="007D48B3" w:rsidP="007D48B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b/>
                <w:bCs/>
                <w:noProof/>
                <w:sz w:val="24"/>
                <w:szCs w:val="24"/>
              </w:rPr>
              <w:t>Rekomendowane źródła danych do pomiaru wskaźników i moment pomiaru</w:t>
            </w:r>
          </w:p>
        </w:tc>
      </w:tr>
      <w:tr w:rsidR="00C67F8E" w:rsidRPr="00966C1A" w14:paraId="1CB46175" w14:textId="77777777" w:rsidTr="00486A58">
        <w:tc>
          <w:tcPr>
            <w:tcW w:w="561" w:type="dxa"/>
          </w:tcPr>
          <w:p w14:paraId="1F9E03D4" w14:textId="40FCD8FD"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1</w:t>
            </w:r>
          </w:p>
        </w:tc>
        <w:tc>
          <w:tcPr>
            <w:tcW w:w="2711" w:type="dxa"/>
          </w:tcPr>
          <w:p w14:paraId="0C05A9A5" w14:textId="25FE09DE" w:rsidR="00C67F8E" w:rsidRPr="00966C1A" w:rsidRDefault="007A4174"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WLWK-</w:t>
            </w:r>
            <w:r w:rsidR="00C67F8E" w:rsidRPr="00966C1A">
              <w:rPr>
                <w:rFonts w:ascii="Arial" w:hAnsi="Arial" w:cs="Arial"/>
                <w:noProof/>
                <w:sz w:val="24"/>
                <w:szCs w:val="24"/>
              </w:rPr>
              <w:t xml:space="preserve">EECO12 </w:t>
            </w:r>
            <w:r w:rsidR="00C67F8E" w:rsidRPr="00966C1A">
              <w:rPr>
                <w:rFonts w:ascii="Arial" w:hAnsi="Arial" w:cs="Arial"/>
                <w:noProof/>
                <w:sz w:val="24"/>
                <w:szCs w:val="24"/>
              </w:rPr>
              <w:br/>
              <w:t xml:space="preserve">Liczba osób z niepełnosprawnościami objętych wsparciem </w:t>
            </w:r>
            <w:r w:rsidR="009B5419" w:rsidRPr="00966C1A">
              <w:rPr>
                <w:rFonts w:ascii="Arial" w:hAnsi="Arial" w:cs="Arial"/>
                <w:noProof/>
                <w:sz w:val="24"/>
                <w:szCs w:val="24"/>
              </w:rPr>
              <w:br/>
            </w:r>
            <w:r w:rsidR="00C67F8E" w:rsidRPr="00966C1A">
              <w:rPr>
                <w:rFonts w:ascii="Arial" w:hAnsi="Arial" w:cs="Arial"/>
                <w:noProof/>
                <w:sz w:val="24"/>
                <w:szCs w:val="24"/>
              </w:rPr>
              <w:t>w programie</w:t>
            </w:r>
          </w:p>
        </w:tc>
        <w:tc>
          <w:tcPr>
            <w:tcW w:w="6788" w:type="dxa"/>
          </w:tcPr>
          <w:p w14:paraId="5049D94F" w14:textId="255CA25F"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102137AC" w14:textId="18866E59" w:rsidR="00E61624" w:rsidRPr="00966C1A" w:rsidRDefault="00E61624"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3C2298A5" w14:textId="71E9D3C3"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Przynależność do grupy osób z</w:t>
            </w:r>
            <w:r w:rsidR="00E61624" w:rsidRPr="00966C1A">
              <w:rPr>
                <w:rFonts w:ascii="Arial" w:hAnsi="Arial" w:cs="Arial"/>
                <w:noProof/>
                <w:sz w:val="24"/>
                <w:szCs w:val="24"/>
              </w:rPr>
              <w:t xml:space="preserve"> </w:t>
            </w:r>
            <w:r w:rsidRPr="00966C1A">
              <w:rPr>
                <w:rFonts w:ascii="Arial" w:hAnsi="Arial" w:cs="Arial"/>
                <w:noProof/>
                <w:sz w:val="24"/>
                <w:szCs w:val="24"/>
              </w:rPr>
              <w:t>niepełnosprawnościami określana jest w momencie rozpoczęcia udziału w projekcie, tj. w chwili rozpoczęcia udziału w pierwszej formie wsparcia w proj</w:t>
            </w:r>
            <w:r w:rsidR="00583A6A" w:rsidRPr="00966C1A">
              <w:rPr>
                <w:rFonts w:ascii="Arial" w:hAnsi="Arial" w:cs="Arial"/>
                <w:noProof/>
                <w:sz w:val="24"/>
                <w:szCs w:val="24"/>
              </w:rPr>
              <w:t>ek</w:t>
            </w:r>
            <w:r w:rsidRPr="00966C1A">
              <w:rPr>
                <w:rFonts w:ascii="Arial" w:hAnsi="Arial" w:cs="Arial"/>
                <w:noProof/>
                <w:sz w:val="24"/>
                <w:szCs w:val="24"/>
              </w:rPr>
              <w:t>cie.</w:t>
            </w:r>
          </w:p>
          <w:p w14:paraId="359FC258" w14:textId="7CCDB2A7" w:rsidR="00C67F8E" w:rsidRPr="00966C1A" w:rsidRDefault="00126C9B"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w:t>
            </w:r>
            <w:r w:rsidR="00DB1DFE" w:rsidRPr="00966C1A">
              <w:rPr>
                <w:rFonts w:ascii="Arial" w:hAnsi="Arial" w:cs="Arial"/>
                <w:noProof/>
                <w:sz w:val="24"/>
                <w:szCs w:val="24"/>
              </w:rPr>
              <w:t>.</w:t>
            </w:r>
            <w:r w:rsidRPr="00966C1A">
              <w:rPr>
                <w:rFonts w:ascii="Arial" w:hAnsi="Arial" w:cs="Arial"/>
                <w:noProof/>
                <w:sz w:val="24"/>
                <w:szCs w:val="24"/>
              </w:rPr>
              <w:t xml:space="preserve"> „wiarygodnych szacunków”.</w:t>
            </w:r>
          </w:p>
        </w:tc>
        <w:tc>
          <w:tcPr>
            <w:tcW w:w="3934" w:type="dxa"/>
          </w:tcPr>
          <w:p w14:paraId="6506020D" w14:textId="79DF8325" w:rsidR="007F0DB5" w:rsidRPr="00966C1A" w:rsidRDefault="00A25C81"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xml:space="preserve">Źródła danych do pomiaru: </w:t>
            </w:r>
            <w:r w:rsidR="009E461A" w:rsidRPr="00966C1A">
              <w:rPr>
                <w:rFonts w:ascii="Arial" w:hAnsi="Arial" w:cs="Arial"/>
                <w:color w:val="000000" w:themeColor="text1"/>
                <w:sz w:val="24"/>
                <w:szCs w:val="24"/>
              </w:rPr>
              <w:br/>
            </w:r>
            <w:r w:rsidR="007F0DB5" w:rsidRPr="00966C1A">
              <w:rPr>
                <w:rFonts w:ascii="Arial" w:hAnsi="Arial" w:cs="Arial"/>
                <w:color w:val="000000" w:themeColor="text1"/>
                <w:sz w:val="24"/>
                <w:szCs w:val="24"/>
              </w:rPr>
              <w:t>lista obecności z pierwszej formy wsparcia</w:t>
            </w:r>
            <w:r w:rsidR="009E461A" w:rsidRPr="00966C1A">
              <w:rPr>
                <w:rFonts w:ascii="Arial" w:hAnsi="Arial" w:cs="Arial"/>
                <w:color w:val="000000" w:themeColor="text1"/>
                <w:sz w:val="24"/>
                <w:szCs w:val="24"/>
              </w:rPr>
              <w:t xml:space="preserve">, </w:t>
            </w:r>
            <w:r w:rsidR="007F0DB5" w:rsidRPr="00966C1A">
              <w:rPr>
                <w:rFonts w:ascii="Arial" w:hAnsi="Arial" w:cs="Arial"/>
                <w:color w:val="000000" w:themeColor="text1"/>
                <w:sz w:val="24"/>
                <w:szCs w:val="24"/>
              </w:rPr>
              <w:t>dokumenty</w:t>
            </w:r>
            <w:r w:rsidR="00F25883">
              <w:rPr>
                <w:rFonts w:ascii="Arial" w:hAnsi="Arial" w:cs="Arial"/>
                <w:color w:val="000000" w:themeColor="text1"/>
                <w:sz w:val="24"/>
                <w:szCs w:val="24"/>
              </w:rPr>
              <w:t xml:space="preserve"> </w:t>
            </w:r>
            <w:r w:rsidR="007F0DB5" w:rsidRPr="00966C1A">
              <w:rPr>
                <w:rFonts w:ascii="Arial" w:hAnsi="Arial" w:cs="Arial"/>
                <w:color w:val="000000" w:themeColor="text1"/>
                <w:sz w:val="24"/>
                <w:szCs w:val="24"/>
              </w:rPr>
              <w:t>potwierdzające status osoby z niepełnosprawnośc</w:t>
            </w:r>
            <w:r w:rsidR="004A20D6" w:rsidRPr="00966C1A">
              <w:rPr>
                <w:rFonts w:ascii="Arial" w:hAnsi="Arial" w:cs="Arial"/>
                <w:color w:val="000000" w:themeColor="text1"/>
                <w:sz w:val="24"/>
                <w:szCs w:val="24"/>
              </w:rPr>
              <w:t>ią</w:t>
            </w:r>
            <w:r w:rsidR="007F0DB5" w:rsidRPr="00966C1A">
              <w:rPr>
                <w:rFonts w:ascii="Arial" w:hAnsi="Arial" w:cs="Arial"/>
                <w:color w:val="000000" w:themeColor="text1"/>
                <w:sz w:val="24"/>
                <w:szCs w:val="24"/>
              </w:rPr>
              <w:t>, tj.:</w:t>
            </w:r>
          </w:p>
          <w:p w14:paraId="7BEE9D94" w14:textId="77777777" w:rsidR="00F86710" w:rsidRPr="00966C1A" w:rsidRDefault="007F0DB5"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 xml:space="preserve">- </w:t>
            </w:r>
            <w:r w:rsidR="00A25C81" w:rsidRPr="00966C1A">
              <w:rPr>
                <w:rFonts w:ascii="Arial" w:hAnsi="Arial" w:cs="Arial"/>
                <w:color w:val="000000" w:themeColor="text1"/>
                <w:sz w:val="24"/>
                <w:szCs w:val="24"/>
              </w:rPr>
              <w:t>orzeczenie o niepełnosprawności wydane przez wojewódzki lub powiato</w:t>
            </w:r>
            <w:r w:rsidR="00583A6A" w:rsidRPr="00966C1A">
              <w:rPr>
                <w:rFonts w:ascii="Arial" w:hAnsi="Arial" w:cs="Arial"/>
                <w:color w:val="000000" w:themeColor="text1"/>
                <w:sz w:val="24"/>
                <w:szCs w:val="24"/>
              </w:rPr>
              <w:t>wy</w:t>
            </w:r>
            <w:r w:rsidR="00A25C81" w:rsidRPr="00966C1A">
              <w:rPr>
                <w:rFonts w:ascii="Arial" w:hAnsi="Arial" w:cs="Arial"/>
                <w:color w:val="000000" w:themeColor="text1"/>
                <w:sz w:val="24"/>
                <w:szCs w:val="24"/>
              </w:rPr>
              <w:t xml:space="preserve"> zespół ds.</w:t>
            </w:r>
            <w:r w:rsidR="00962E39" w:rsidRPr="00966C1A">
              <w:rPr>
                <w:rFonts w:ascii="Arial" w:hAnsi="Arial" w:cs="Arial"/>
                <w:color w:val="000000" w:themeColor="text1"/>
                <w:sz w:val="24"/>
                <w:szCs w:val="24"/>
              </w:rPr>
              <w:t xml:space="preserve"> </w:t>
            </w:r>
            <w:r w:rsidR="00A25C81" w:rsidRPr="00966C1A">
              <w:rPr>
                <w:rFonts w:ascii="Arial" w:hAnsi="Arial" w:cs="Arial"/>
                <w:color w:val="000000" w:themeColor="text1"/>
                <w:sz w:val="24"/>
                <w:szCs w:val="24"/>
              </w:rPr>
              <w:t>orzekania o niepełnosprawności oraz orzeczenia lekarzy orzeczników ZUS i inne równoważne orzeczenia (KRUS, służb</w:t>
            </w:r>
            <w:r w:rsidR="00583A6A" w:rsidRPr="00966C1A">
              <w:rPr>
                <w:rFonts w:ascii="Arial" w:hAnsi="Arial" w:cs="Arial"/>
                <w:color w:val="000000" w:themeColor="text1"/>
                <w:sz w:val="24"/>
                <w:szCs w:val="24"/>
              </w:rPr>
              <w:t>y m</w:t>
            </w:r>
            <w:r w:rsidR="00A25C81" w:rsidRPr="00966C1A">
              <w:rPr>
                <w:rFonts w:ascii="Arial" w:hAnsi="Arial" w:cs="Arial"/>
                <w:color w:val="000000" w:themeColor="text1"/>
                <w:sz w:val="24"/>
                <w:szCs w:val="24"/>
              </w:rPr>
              <w:t>undurowe itd.),</w:t>
            </w:r>
          </w:p>
          <w:p w14:paraId="3DF062BD" w14:textId="17C3FEF4" w:rsidR="00962E39" w:rsidRPr="00966C1A" w:rsidRDefault="00F86710"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w:t>
            </w:r>
            <w:r w:rsidR="0027768F" w:rsidRPr="00966C1A">
              <w:rPr>
                <w:rFonts w:ascii="Arial" w:hAnsi="Arial" w:cs="Arial"/>
                <w:color w:val="000000" w:themeColor="text1"/>
                <w:sz w:val="24"/>
                <w:szCs w:val="24"/>
              </w:rPr>
              <w:t xml:space="preserve"> </w:t>
            </w:r>
            <w:r w:rsidR="00A25C81" w:rsidRPr="00966C1A">
              <w:rPr>
                <w:rFonts w:ascii="Arial" w:hAnsi="Arial" w:cs="Arial"/>
                <w:color w:val="000000" w:themeColor="text1"/>
                <w:sz w:val="24"/>
                <w:szCs w:val="24"/>
              </w:rPr>
              <w:t>inny niż orzeczenie o niepełnosprawności dokument poświadczający stan zdrowia wydany przez lekarza, tj. orzeczenie o stanie zdrowia lub opinia.</w:t>
            </w:r>
            <w:r w:rsidR="00A36FB8" w:rsidRPr="00966C1A">
              <w:rPr>
                <w:rFonts w:ascii="Arial" w:hAnsi="Arial" w:cs="Arial"/>
                <w:color w:val="000000" w:themeColor="text1"/>
                <w:sz w:val="24"/>
                <w:szCs w:val="24"/>
              </w:rPr>
              <w:t xml:space="preserve"> </w:t>
            </w:r>
          </w:p>
          <w:p w14:paraId="49707010" w14:textId="2CBC31EE" w:rsidR="00A36FB8" w:rsidRPr="00966C1A" w:rsidRDefault="00A36FB8"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xml:space="preserve">W przypadku </w:t>
            </w:r>
            <w:r w:rsidR="007F0DB5" w:rsidRPr="00966C1A">
              <w:rPr>
                <w:rFonts w:ascii="Arial" w:hAnsi="Arial" w:cs="Arial"/>
                <w:color w:val="000000" w:themeColor="text1"/>
                <w:sz w:val="24"/>
                <w:szCs w:val="24"/>
              </w:rPr>
              <w:t>uczniów</w:t>
            </w:r>
            <w:r w:rsidRPr="00966C1A">
              <w:rPr>
                <w:rFonts w:ascii="Arial" w:hAnsi="Arial" w:cs="Arial"/>
                <w:color w:val="000000" w:themeColor="text1"/>
                <w:sz w:val="24"/>
                <w:szCs w:val="24"/>
              </w:rPr>
              <w:t xml:space="preserve"> również:</w:t>
            </w:r>
          </w:p>
          <w:p w14:paraId="36013D60" w14:textId="0ED84DC6" w:rsidR="007F0DB5" w:rsidRPr="00966C1A" w:rsidRDefault="007F0DB5"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w:t>
            </w:r>
            <w:r w:rsidR="0027768F" w:rsidRPr="00966C1A">
              <w:rPr>
                <w:rFonts w:ascii="Arial" w:hAnsi="Arial" w:cs="Arial"/>
                <w:color w:val="000000" w:themeColor="text1"/>
                <w:sz w:val="24"/>
                <w:szCs w:val="24"/>
              </w:rPr>
              <w:t xml:space="preserve"> </w:t>
            </w:r>
            <w:r w:rsidR="00A36FB8" w:rsidRPr="00966C1A">
              <w:rPr>
                <w:rFonts w:ascii="Arial" w:hAnsi="Arial" w:cs="Arial"/>
                <w:color w:val="000000" w:themeColor="text1"/>
                <w:sz w:val="24"/>
                <w:szCs w:val="24"/>
              </w:rPr>
              <w:t>orzeczenie o potrzebie</w:t>
            </w:r>
            <w:r w:rsidR="00FE3947" w:rsidRPr="00966C1A">
              <w:rPr>
                <w:rFonts w:ascii="Arial" w:hAnsi="Arial" w:cs="Arial"/>
                <w:color w:val="000000" w:themeColor="text1"/>
                <w:sz w:val="24"/>
                <w:szCs w:val="24"/>
              </w:rPr>
              <w:t xml:space="preserve"> </w:t>
            </w:r>
            <w:r w:rsidR="00A36FB8" w:rsidRPr="00966C1A">
              <w:rPr>
                <w:rFonts w:ascii="Arial" w:hAnsi="Arial" w:cs="Arial"/>
                <w:color w:val="000000" w:themeColor="text1"/>
                <w:sz w:val="24"/>
                <w:szCs w:val="24"/>
              </w:rPr>
              <w:t>kształcenia specjalnego wydane ze względu na dany rodzaj niepełnosprawności</w:t>
            </w:r>
            <w:r w:rsidR="009E461A" w:rsidRPr="00966C1A">
              <w:rPr>
                <w:rFonts w:ascii="Arial" w:hAnsi="Arial" w:cs="Arial"/>
                <w:color w:val="000000" w:themeColor="text1"/>
                <w:sz w:val="24"/>
                <w:szCs w:val="24"/>
              </w:rPr>
              <w:t>,</w:t>
            </w:r>
          </w:p>
          <w:p w14:paraId="4D2CB4AC" w14:textId="16B3227D" w:rsidR="00126C9B" w:rsidRPr="00966C1A" w:rsidRDefault="007F0DB5"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 xml:space="preserve">- orzeczenie </w:t>
            </w:r>
            <w:r w:rsidR="00A36FB8" w:rsidRPr="00966C1A">
              <w:rPr>
                <w:rFonts w:ascii="Arial" w:hAnsi="Arial" w:cs="Arial"/>
                <w:color w:val="000000" w:themeColor="text1"/>
                <w:sz w:val="24"/>
                <w:szCs w:val="24"/>
              </w:rPr>
              <w:t>o potrzebie zajęć rewalidacyjno-wychowawczych wydawane ze względu na niepełnosprawność intelektualną</w:t>
            </w:r>
            <w:r w:rsidR="00FE3947" w:rsidRPr="00966C1A">
              <w:rPr>
                <w:rFonts w:ascii="Arial" w:hAnsi="Arial" w:cs="Arial"/>
                <w:color w:val="000000" w:themeColor="text1"/>
                <w:sz w:val="24"/>
                <w:szCs w:val="24"/>
              </w:rPr>
              <w:t xml:space="preserve"> </w:t>
            </w:r>
            <w:r w:rsidR="00A36FB8" w:rsidRPr="00966C1A">
              <w:rPr>
                <w:rFonts w:ascii="Arial" w:hAnsi="Arial" w:cs="Arial"/>
                <w:color w:val="000000" w:themeColor="text1"/>
                <w:sz w:val="24"/>
                <w:szCs w:val="24"/>
              </w:rPr>
              <w:t>w stopniu głębokim</w:t>
            </w:r>
            <w:r w:rsidR="00057216" w:rsidRPr="00966C1A">
              <w:rPr>
                <w:rFonts w:ascii="Arial" w:hAnsi="Arial" w:cs="Arial"/>
                <w:color w:val="000000" w:themeColor="text1"/>
                <w:sz w:val="24"/>
                <w:szCs w:val="24"/>
              </w:rPr>
              <w:t>.</w:t>
            </w:r>
          </w:p>
          <w:p w14:paraId="74D874BB" w14:textId="77777777" w:rsidR="00C67F8E" w:rsidRPr="00966C1A" w:rsidRDefault="00A25C81"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Moment pomiaru: w momencie przystąpienia do pierwszej formy wsparcia.</w:t>
            </w:r>
          </w:p>
          <w:p w14:paraId="4CEF8B00" w14:textId="708DF0BD" w:rsidR="006A5F35" w:rsidRPr="00966C1A" w:rsidRDefault="006A5F35" w:rsidP="00321C31">
            <w:pPr>
              <w:autoSpaceDE w:val="0"/>
              <w:autoSpaceDN w:val="0"/>
              <w:adjustRightInd w:val="0"/>
              <w:spacing w:before="120" w:after="120" w:line="276" w:lineRule="auto"/>
              <w:rPr>
                <w:rFonts w:ascii="Arial" w:hAnsi="Arial" w:cs="Arial"/>
                <w:noProof/>
                <w:sz w:val="24"/>
                <w:szCs w:val="24"/>
              </w:rPr>
            </w:pPr>
          </w:p>
        </w:tc>
      </w:tr>
      <w:tr w:rsidR="00FB68C1" w:rsidRPr="00966C1A" w14:paraId="03E64665" w14:textId="77777777" w:rsidTr="00486A58">
        <w:tc>
          <w:tcPr>
            <w:tcW w:w="561" w:type="dxa"/>
          </w:tcPr>
          <w:p w14:paraId="4F0B92E7" w14:textId="3F1D45F1"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2</w:t>
            </w:r>
          </w:p>
        </w:tc>
        <w:tc>
          <w:tcPr>
            <w:tcW w:w="2711" w:type="dxa"/>
          </w:tcPr>
          <w:p w14:paraId="0A0F9A1D" w14:textId="4C9B6CD0"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WLWK-EECO13 </w:t>
            </w:r>
            <w:r w:rsidRPr="00966C1A">
              <w:rPr>
                <w:rFonts w:ascii="Arial" w:hAnsi="Arial" w:cs="Arial"/>
                <w:noProof/>
                <w:sz w:val="24"/>
                <w:szCs w:val="24"/>
              </w:rPr>
              <w:br/>
              <w:t>Liczba osób z krajów trzecich objętych wsparciem w programie</w:t>
            </w:r>
          </w:p>
        </w:tc>
        <w:tc>
          <w:tcPr>
            <w:tcW w:w="6788" w:type="dxa"/>
          </w:tcPr>
          <w:p w14:paraId="1397F71F" w14:textId="3F12C6D1"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Osoby, które są obywatelami krajów spoza UE. Do wskaźnika wlicza się też bezpaństwowców zgodnie z Konwencją o statusie bezpaństwowców z 1954 r. i osoby bez ustalonego obywatelstwa.</w:t>
            </w:r>
          </w:p>
          <w:p w14:paraId="03278ED4" w14:textId="4E6222A5"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F016A9" w14:textId="411FFC87"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IZ nie przewiduje wykorzystania metody tzw. „wiarygodnych szacunków”.</w:t>
            </w:r>
          </w:p>
          <w:p w14:paraId="47A3B701" w14:textId="40E74FBE" w:rsidR="00FB68C1" w:rsidRPr="00966C1A" w:rsidRDefault="00FB68C1" w:rsidP="00FB68C1">
            <w:pPr>
              <w:autoSpaceDE w:val="0"/>
              <w:autoSpaceDN w:val="0"/>
              <w:adjustRightInd w:val="0"/>
              <w:spacing w:before="120" w:after="120" w:line="276" w:lineRule="auto"/>
              <w:rPr>
                <w:rFonts w:ascii="Arial" w:hAnsi="Arial" w:cs="Arial"/>
                <w:noProof/>
                <w:sz w:val="24"/>
                <w:szCs w:val="24"/>
              </w:rPr>
            </w:pPr>
          </w:p>
        </w:tc>
        <w:tc>
          <w:tcPr>
            <w:tcW w:w="3934" w:type="dxa"/>
          </w:tcPr>
          <w:p w14:paraId="465DC65B" w14:textId="77777777" w:rsidR="00FB68C1" w:rsidRDefault="00FB68C1" w:rsidP="00FB68C1">
            <w:pPr>
              <w:autoSpaceDE w:val="0"/>
              <w:autoSpaceDN w:val="0"/>
              <w:adjustRightInd w:val="0"/>
              <w:spacing w:before="120" w:after="120" w:line="276" w:lineRule="auto"/>
              <w:rPr>
                <w:rFonts w:ascii="Arial" w:hAnsi="Arial" w:cs="Arial"/>
                <w:noProof/>
                <w:color w:val="000000" w:themeColor="text1"/>
                <w:sz w:val="24"/>
                <w:szCs w:val="24"/>
              </w:rPr>
            </w:pPr>
            <w:r w:rsidRPr="006A5F35">
              <w:rPr>
                <w:rFonts w:ascii="Arial" w:hAnsi="Arial" w:cs="Arial"/>
                <w:noProof/>
                <w:color w:val="000000" w:themeColor="text1"/>
                <w:sz w:val="24"/>
                <w:szCs w:val="24"/>
              </w:rPr>
              <w:lastRenderedPageBreak/>
              <w:t xml:space="preserve">Źródła danych do pomiaru: </w:t>
            </w:r>
            <w:r>
              <w:rPr>
                <w:rFonts w:ascii="Arial" w:hAnsi="Arial" w:cs="Arial"/>
                <w:noProof/>
                <w:color w:val="000000" w:themeColor="text1"/>
                <w:sz w:val="24"/>
                <w:szCs w:val="24"/>
              </w:rPr>
              <w:br/>
            </w:r>
            <w:r w:rsidRPr="006A5F35">
              <w:rPr>
                <w:rFonts w:ascii="Arial" w:hAnsi="Arial" w:cs="Arial"/>
                <w:noProof/>
                <w:color w:val="000000" w:themeColor="text1"/>
                <w:sz w:val="24"/>
                <w:szCs w:val="24"/>
              </w:rPr>
              <w:t>lista obecności z pierwszej formy wsparcia</w:t>
            </w:r>
            <w:r>
              <w:rPr>
                <w:rFonts w:ascii="Arial" w:hAnsi="Arial" w:cs="Arial"/>
                <w:noProof/>
                <w:color w:val="000000" w:themeColor="text1"/>
                <w:sz w:val="24"/>
                <w:szCs w:val="24"/>
              </w:rPr>
              <w:t xml:space="preserve">, </w:t>
            </w:r>
          </w:p>
          <w:p w14:paraId="39C601A1" w14:textId="4C399A7E" w:rsidR="00FB68C1" w:rsidRPr="00FB68C1" w:rsidRDefault="00FB68C1" w:rsidP="00FB68C1">
            <w:pPr>
              <w:autoSpaceDE w:val="0"/>
              <w:autoSpaceDN w:val="0"/>
              <w:adjustRightInd w:val="0"/>
              <w:spacing w:before="120" w:after="120" w:line="276" w:lineRule="auto"/>
              <w:rPr>
                <w:rFonts w:ascii="Arial" w:hAnsi="Arial" w:cs="Arial"/>
                <w:color w:val="000000" w:themeColor="text1"/>
                <w:sz w:val="24"/>
                <w:szCs w:val="24"/>
              </w:rPr>
            </w:pPr>
            <w:r w:rsidRPr="00DE1FA9">
              <w:rPr>
                <w:rFonts w:ascii="Arial" w:hAnsi="Arial" w:cs="Arial"/>
                <w:sz w:val="24"/>
                <w:szCs w:val="24"/>
              </w:rPr>
              <w:t xml:space="preserve">- </w:t>
            </w:r>
            <w:r>
              <w:rPr>
                <w:rFonts w:ascii="Arial" w:hAnsi="Arial" w:cs="Arial"/>
                <w:sz w:val="24"/>
                <w:szCs w:val="24"/>
              </w:rPr>
              <w:t>d</w:t>
            </w:r>
            <w:r w:rsidRPr="00FB68C1">
              <w:rPr>
                <w:rFonts w:ascii="Arial" w:hAnsi="Arial" w:cs="Arial"/>
                <w:color w:val="000000" w:themeColor="text1"/>
                <w:sz w:val="24"/>
                <w:szCs w:val="24"/>
              </w:rPr>
              <w:t>okument upoważniający do pobytu i pracy: wiza, karta pobytu (czasowego, stałego lub rezydenta długoterminowego UE),</w:t>
            </w:r>
          </w:p>
          <w:p w14:paraId="7C394F9B" w14:textId="77777777" w:rsidR="00FB68C1" w:rsidRPr="00FB68C1" w:rsidRDefault="00FB68C1" w:rsidP="00FB68C1">
            <w:pPr>
              <w:autoSpaceDE w:val="0"/>
              <w:autoSpaceDN w:val="0"/>
              <w:adjustRightInd w:val="0"/>
              <w:spacing w:before="120" w:after="120" w:line="276" w:lineRule="auto"/>
              <w:rPr>
                <w:rFonts w:ascii="Arial" w:hAnsi="Arial" w:cs="Arial"/>
                <w:color w:val="000000" w:themeColor="text1"/>
                <w:sz w:val="24"/>
                <w:szCs w:val="24"/>
              </w:rPr>
            </w:pPr>
            <w:r w:rsidRPr="00FB68C1">
              <w:rPr>
                <w:rFonts w:ascii="Arial" w:hAnsi="Arial" w:cs="Arial"/>
                <w:color w:val="000000" w:themeColor="text1"/>
                <w:sz w:val="24"/>
                <w:szCs w:val="24"/>
              </w:rPr>
              <w:lastRenderedPageBreak/>
              <w:t>- dokument potwierdzający objęcie ochroną (np.: ochroną czasową; ochroną międzynarodową – status uchodźcy, ochrona uzupełniająca; ochroną krajową),</w:t>
            </w:r>
          </w:p>
          <w:p w14:paraId="3DAFF082" w14:textId="77777777" w:rsidR="00FB68C1" w:rsidRPr="00FB68C1" w:rsidRDefault="00FB68C1" w:rsidP="00FB68C1">
            <w:pPr>
              <w:autoSpaceDE w:val="0"/>
              <w:autoSpaceDN w:val="0"/>
              <w:adjustRightInd w:val="0"/>
              <w:spacing w:before="120" w:after="120" w:line="276" w:lineRule="auto"/>
              <w:rPr>
                <w:rFonts w:ascii="Arial" w:hAnsi="Arial" w:cs="Arial"/>
                <w:color w:val="000000" w:themeColor="text1"/>
                <w:sz w:val="24"/>
                <w:szCs w:val="24"/>
              </w:rPr>
            </w:pPr>
            <w:r w:rsidRPr="00FB68C1">
              <w:rPr>
                <w:rFonts w:ascii="Arial" w:hAnsi="Arial" w:cs="Arial"/>
                <w:color w:val="000000" w:themeColor="text1"/>
                <w:sz w:val="24"/>
                <w:szCs w:val="24"/>
              </w:rPr>
              <w:t>- w przypadku osób objętych ochroną czasową w związku z agresją Federacji Rosyjskiej na Ukrainę - dokumenty wymienione w ustawie z dnia 12 marca 2022 r. o pomocy obywatelom Ukrainy w związku z konfliktem zbrojnym na terytorium tego państwa (np. potwierdzenie weryfikacji legalności pobytu na podstawie przedstawionego dokumentu elektronicznego Diia.pl);</w:t>
            </w:r>
          </w:p>
          <w:p w14:paraId="6EB07E32" w14:textId="21AA872A"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FB68C1">
              <w:rPr>
                <w:rFonts w:ascii="Arial" w:hAnsi="Arial" w:cs="Arial"/>
                <w:color w:val="000000" w:themeColor="text1"/>
                <w:sz w:val="24"/>
                <w:szCs w:val="24"/>
              </w:rPr>
              <w:t>- inne równoważne dokumenty.</w:t>
            </w:r>
          </w:p>
        </w:tc>
      </w:tr>
      <w:tr w:rsidR="00FB68C1" w:rsidRPr="00966C1A" w14:paraId="3CEC8B95" w14:textId="77777777" w:rsidTr="00486A58">
        <w:tc>
          <w:tcPr>
            <w:tcW w:w="561" w:type="dxa"/>
          </w:tcPr>
          <w:p w14:paraId="3427387B" w14:textId="6110F4D5" w:rsidR="00FB68C1" w:rsidRPr="00966C1A" w:rsidRDefault="00FB68C1" w:rsidP="00FB68C1">
            <w:pPr>
              <w:autoSpaceDE w:val="0"/>
              <w:autoSpaceDN w:val="0"/>
              <w:adjustRightInd w:val="0"/>
              <w:spacing w:before="120" w:after="120" w:line="276" w:lineRule="auto"/>
              <w:rPr>
                <w:rFonts w:ascii="Arial" w:hAnsi="Arial" w:cs="Arial"/>
                <w:noProof/>
                <w:sz w:val="24"/>
                <w:szCs w:val="24"/>
              </w:rPr>
            </w:pPr>
            <w:bookmarkStart w:id="2" w:name="_Hlk176782353"/>
            <w:r w:rsidRPr="00966C1A">
              <w:rPr>
                <w:rFonts w:ascii="Arial" w:hAnsi="Arial" w:cs="Arial"/>
                <w:noProof/>
                <w:sz w:val="24"/>
                <w:szCs w:val="24"/>
              </w:rPr>
              <w:lastRenderedPageBreak/>
              <w:t>3</w:t>
            </w:r>
          </w:p>
        </w:tc>
        <w:tc>
          <w:tcPr>
            <w:tcW w:w="2711" w:type="dxa"/>
          </w:tcPr>
          <w:p w14:paraId="5FAE8B77" w14:textId="675DC9B5"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WLWK-EECO14 </w:t>
            </w:r>
            <w:r w:rsidRPr="00966C1A">
              <w:rPr>
                <w:rFonts w:ascii="Arial" w:hAnsi="Arial" w:cs="Arial"/>
                <w:noProof/>
                <w:sz w:val="24"/>
                <w:szCs w:val="24"/>
              </w:rPr>
              <w:br/>
              <w:t xml:space="preserve">Liczba osób obcego pochodzenia objętych </w:t>
            </w:r>
            <w:r w:rsidRPr="00966C1A">
              <w:rPr>
                <w:rFonts w:ascii="Arial" w:hAnsi="Arial" w:cs="Arial"/>
                <w:noProof/>
                <w:sz w:val="24"/>
                <w:szCs w:val="24"/>
              </w:rPr>
              <w:lastRenderedPageBreak/>
              <w:t>wsparciem w programie</w:t>
            </w:r>
          </w:p>
        </w:tc>
        <w:tc>
          <w:tcPr>
            <w:tcW w:w="6788" w:type="dxa"/>
          </w:tcPr>
          <w:p w14:paraId="46294AB1" w14:textId="308C3964"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Osoby obcego pochodzenia to cudzoziemcy - każda osoba, która nie posiada polskiego obywatelstwa, bez względu na fakt posiadania lub nie obywatelstwa (obywatelstw) innych krajów.</w:t>
            </w:r>
          </w:p>
          <w:p w14:paraId="4BD00CE4" w14:textId="2C5AB2FA"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 xml:space="preserve">Wskaźnik nie obejmuje osób należących do mniejszości, których udział w projektach monitorowany jest wskaźnikiem </w:t>
            </w:r>
            <w:r w:rsidRPr="00966C1A">
              <w:rPr>
                <w:rFonts w:ascii="Arial" w:hAnsi="Arial" w:cs="Arial"/>
                <w:i/>
                <w:iCs/>
                <w:noProof/>
                <w:sz w:val="24"/>
                <w:szCs w:val="24"/>
              </w:rPr>
              <w:t>liczba osób należących do mniejszości, w tym społeczności marginalizowanych takich jak Romowie, objętych wsparciem w programie</w:t>
            </w:r>
            <w:r w:rsidRPr="00966C1A">
              <w:rPr>
                <w:rFonts w:ascii="Arial" w:hAnsi="Arial" w:cs="Arial"/>
                <w:noProof/>
                <w:sz w:val="24"/>
                <w:szCs w:val="24"/>
              </w:rPr>
              <w:t>.</w:t>
            </w:r>
          </w:p>
          <w:p w14:paraId="1DAEDF69" w14:textId="744EC022"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58BD8859" w14:textId="0A20E041"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Informacje dodatkowe: Wskaźnik będzie obejmował zawsze osoby z krajów trzecich, zliczane we wskaźniku </w:t>
            </w:r>
            <w:r w:rsidRPr="00966C1A">
              <w:rPr>
                <w:rFonts w:ascii="Arial" w:hAnsi="Arial" w:cs="Arial"/>
                <w:i/>
                <w:iCs/>
                <w:noProof/>
                <w:sz w:val="24"/>
                <w:szCs w:val="24"/>
              </w:rPr>
              <w:t>liczba osób z krajów trzecich objętych wsparciem w programie</w:t>
            </w:r>
            <w:r w:rsidRPr="00966C1A">
              <w:rPr>
                <w:rFonts w:ascii="Arial" w:hAnsi="Arial" w:cs="Arial"/>
                <w:noProof/>
                <w:sz w:val="24"/>
                <w:szCs w:val="24"/>
              </w:rPr>
              <w:t>.</w:t>
            </w:r>
          </w:p>
          <w:p w14:paraId="7A24A9ED" w14:textId="600CC67D"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tc>
        <w:tc>
          <w:tcPr>
            <w:tcW w:w="3934" w:type="dxa"/>
          </w:tcPr>
          <w:p w14:paraId="15FA22EA" w14:textId="58E8B0E8" w:rsidR="00FB68C1" w:rsidRPr="00966C1A" w:rsidRDefault="00FB68C1" w:rsidP="00FB68C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xml:space="preserve">Źródła danych do pomiaru: </w:t>
            </w:r>
            <w:r w:rsidRPr="00966C1A">
              <w:rPr>
                <w:rFonts w:ascii="Arial" w:hAnsi="Arial" w:cs="Arial"/>
                <w:color w:val="000000" w:themeColor="text1"/>
                <w:sz w:val="24"/>
                <w:szCs w:val="24"/>
              </w:rPr>
              <w:br/>
              <w:t xml:space="preserve">lista obecności z pierwszej formy wsparcia, dokumenty potwierdzające przynależność do </w:t>
            </w:r>
            <w:r w:rsidRPr="00966C1A">
              <w:rPr>
                <w:rFonts w:ascii="Arial" w:hAnsi="Arial" w:cs="Arial"/>
                <w:noProof/>
                <w:sz w:val="24"/>
                <w:szCs w:val="24"/>
              </w:rPr>
              <w:t xml:space="preserve">grupy osób obcego pochodzenia, </w:t>
            </w:r>
            <w:r w:rsidRPr="00966C1A">
              <w:rPr>
                <w:rFonts w:ascii="Arial" w:hAnsi="Arial" w:cs="Arial"/>
                <w:noProof/>
                <w:sz w:val="24"/>
                <w:szCs w:val="24"/>
              </w:rPr>
              <w:lastRenderedPageBreak/>
              <w:t xml:space="preserve">np. dokumenty potwierdzajace </w:t>
            </w:r>
            <w:r w:rsidRPr="00966C1A">
              <w:rPr>
                <w:rFonts w:ascii="Arial" w:hAnsi="Arial" w:cs="Arial"/>
                <w:color w:val="000000" w:themeColor="text1"/>
                <w:sz w:val="24"/>
                <w:szCs w:val="24"/>
              </w:rPr>
              <w:t xml:space="preserve">obywatelstwo innego kraju, w przypadku ich braku – oświadczenie. </w:t>
            </w:r>
          </w:p>
          <w:p w14:paraId="6B97E301" w14:textId="5A5BFCB2"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 w momencie przystąpienia do pierwszej formy wsparcia.</w:t>
            </w:r>
          </w:p>
        </w:tc>
      </w:tr>
      <w:bookmarkEnd w:id="2"/>
      <w:tr w:rsidR="00FB68C1" w:rsidRPr="00966C1A" w14:paraId="6AD78F47" w14:textId="77777777" w:rsidTr="00486A58">
        <w:tc>
          <w:tcPr>
            <w:tcW w:w="561" w:type="dxa"/>
          </w:tcPr>
          <w:p w14:paraId="59B3B476" w14:textId="628D77C1"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4</w:t>
            </w:r>
          </w:p>
        </w:tc>
        <w:tc>
          <w:tcPr>
            <w:tcW w:w="2711" w:type="dxa"/>
          </w:tcPr>
          <w:p w14:paraId="5E1EEAD5" w14:textId="7F8A9694"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WLWK-EECO15 </w:t>
            </w:r>
            <w:r w:rsidRPr="00966C1A">
              <w:rPr>
                <w:rFonts w:ascii="Arial" w:hAnsi="Arial" w:cs="Arial"/>
                <w:noProof/>
                <w:sz w:val="24"/>
                <w:szCs w:val="24"/>
              </w:rPr>
              <w:br/>
              <w:t>Liczba osób należących do mniejszości, w tym społeczności marginalizowanych takich jak Romowie, objętych wsparciem w programie</w:t>
            </w:r>
          </w:p>
        </w:tc>
        <w:tc>
          <w:tcPr>
            <w:tcW w:w="6788" w:type="dxa"/>
          </w:tcPr>
          <w:p w14:paraId="6323D0A8" w14:textId="285B7028"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obejmuje osoby należące do mniejszości narodowych i etnicznych biorące udział w projektach EFS+.</w:t>
            </w:r>
          </w:p>
          <w:p w14:paraId="2F8F8AAB" w14:textId="64B44510"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r w:rsidRPr="00966C1A">
              <w:rPr>
                <w:rFonts w:ascii="Arial" w:hAnsi="Arial" w:cs="Arial"/>
                <w:noProof/>
                <w:sz w:val="24"/>
                <w:szCs w:val="24"/>
              </w:rPr>
              <w:br/>
              <w:t xml:space="preserve">Definicja opracowana na podstawie ustawy z dnia 6 stycznia </w:t>
            </w:r>
            <w:r w:rsidRPr="00966C1A">
              <w:rPr>
                <w:rFonts w:ascii="Arial" w:hAnsi="Arial" w:cs="Arial"/>
                <w:noProof/>
                <w:sz w:val="24"/>
                <w:szCs w:val="24"/>
              </w:rPr>
              <w:lastRenderedPageBreak/>
              <w:t>2005 r. o mniejszościach narodowych i etnicznych oraz o języku regionalnym.</w:t>
            </w:r>
          </w:p>
          <w:p w14:paraId="2C3B5952" w14:textId="57161988"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30C780FD"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tc>
        <w:tc>
          <w:tcPr>
            <w:tcW w:w="3934" w:type="dxa"/>
          </w:tcPr>
          <w:p w14:paraId="6051E736" w14:textId="7D990AF8" w:rsidR="00FB68C1" w:rsidRPr="00966C1A" w:rsidRDefault="00FB68C1" w:rsidP="00FB68C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Źródła danych do pomiaru: lista obecności z pierwszej formy wsparcia,</w:t>
            </w:r>
            <w:r>
              <w:rPr>
                <w:rFonts w:ascii="Arial" w:hAnsi="Arial" w:cs="Arial"/>
                <w:color w:val="000000" w:themeColor="text1"/>
                <w:sz w:val="24"/>
                <w:szCs w:val="24"/>
              </w:rPr>
              <w:t xml:space="preserve"> </w:t>
            </w:r>
            <w:r w:rsidRPr="00966C1A">
              <w:rPr>
                <w:rFonts w:ascii="Arial" w:hAnsi="Arial" w:cs="Arial"/>
                <w:color w:val="000000" w:themeColor="text1"/>
                <w:sz w:val="24"/>
                <w:szCs w:val="24"/>
              </w:rPr>
              <w:t>oświadczenie</w:t>
            </w:r>
          </w:p>
          <w:p w14:paraId="368015F8" w14:textId="381A3437"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 w momencie przystąpienia do pierwszej formy wsparcia.</w:t>
            </w:r>
          </w:p>
        </w:tc>
      </w:tr>
      <w:tr w:rsidR="00FB68C1" w:rsidRPr="00966C1A" w14:paraId="04AC4B95" w14:textId="77777777" w:rsidTr="00486A58">
        <w:tc>
          <w:tcPr>
            <w:tcW w:w="561" w:type="dxa"/>
          </w:tcPr>
          <w:p w14:paraId="6AA07BDE" w14:textId="683801ED"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5</w:t>
            </w:r>
          </w:p>
        </w:tc>
        <w:tc>
          <w:tcPr>
            <w:tcW w:w="2711" w:type="dxa"/>
          </w:tcPr>
          <w:p w14:paraId="29BCF533" w14:textId="14C5E379"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WLWK-EECO16 </w:t>
            </w:r>
            <w:r w:rsidRPr="00966C1A">
              <w:rPr>
                <w:rFonts w:ascii="Arial" w:hAnsi="Arial" w:cs="Arial"/>
                <w:noProof/>
                <w:sz w:val="24"/>
                <w:szCs w:val="24"/>
              </w:rPr>
              <w:br/>
              <w:t>Liczba osób w kryzysie bezdomności lub dotkniętych wykluczeniem z dostępu do mieszkań, objętych wsparciem w programie</w:t>
            </w:r>
          </w:p>
        </w:tc>
        <w:tc>
          <w:tcPr>
            <w:tcW w:w="6788" w:type="dxa"/>
          </w:tcPr>
          <w:p w14:paraId="5117818A" w14:textId="5D59B555"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We wskaźniku wykazywane są osoby w kryzysie bezdomności lub dotknięte wykluczeniem z dostępu do mieszkań.</w:t>
            </w:r>
          </w:p>
          <w:p w14:paraId="0DD16713" w14:textId="77777777"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356BF282" w14:textId="77777777"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1. Bez dachu nad głową, w tym osoby żyjące w przestrzeni publicznej lub zakwaterowane interwencyjnie;</w:t>
            </w:r>
          </w:p>
          <w:p w14:paraId="09433E52" w14:textId="77777777"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2. Bez mieszkania, w tym osoby zakwaterowane w placówkach dla bezdomnych, w schroniskach dla kobiet, schroniskach dla imigrantów, osoby opuszczające instytucje </w:t>
            </w:r>
            <w:r w:rsidRPr="00966C1A">
              <w:rPr>
                <w:rFonts w:ascii="Arial" w:hAnsi="Arial" w:cs="Arial"/>
                <w:noProof/>
                <w:sz w:val="24"/>
                <w:szCs w:val="24"/>
              </w:rPr>
              <w:lastRenderedPageBreak/>
              <w:t xml:space="preserve">penitencjarne/karne/medyczne, instytucje opiekuńcze, osoby otrzymujące długookresowe wsparcie z powodu bezdomności - specjalistyczne zakwaterowanie wspierane); </w:t>
            </w:r>
          </w:p>
          <w:p w14:paraId="73BA8223" w14:textId="77777777"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3844AB73" w14:textId="77777777"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D103729" w14:textId="77777777"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Osoby dorosłe mieszkające z rodzicami nie powinny być wykazywane we wskaźniku, chyba że wszystkie te osoby są w kryzysie bezdomności lub mieszkają w nieodpowiednich i niebezpiecznych warunkach.</w:t>
            </w:r>
          </w:p>
          <w:p w14:paraId="4BBB23CD" w14:textId="29FA4E84"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p w14:paraId="36718ECF" w14:textId="3ED2B1E5"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tc>
        <w:tc>
          <w:tcPr>
            <w:tcW w:w="3934" w:type="dxa"/>
          </w:tcPr>
          <w:p w14:paraId="5822D5B7" w14:textId="0EB70B92" w:rsidR="00FB68C1" w:rsidRPr="00966C1A" w:rsidRDefault="00FB68C1" w:rsidP="00FB68C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noProof/>
                <w:color w:val="000000" w:themeColor="text1"/>
                <w:sz w:val="24"/>
                <w:szCs w:val="24"/>
              </w:rPr>
              <w:lastRenderedPageBreak/>
              <w:t xml:space="preserve">Źródła danych do pomiaru: </w:t>
            </w:r>
            <w:r w:rsidRPr="00966C1A">
              <w:rPr>
                <w:rFonts w:ascii="Arial" w:hAnsi="Arial" w:cs="Arial"/>
                <w:noProof/>
                <w:color w:val="000000" w:themeColor="text1"/>
                <w:sz w:val="24"/>
                <w:szCs w:val="24"/>
              </w:rPr>
              <w:br/>
            </w:r>
            <w:r w:rsidRPr="00966C1A">
              <w:rPr>
                <w:rFonts w:ascii="Arial" w:hAnsi="Arial" w:cs="Arial"/>
                <w:color w:val="000000" w:themeColor="text1"/>
                <w:sz w:val="24"/>
                <w:szCs w:val="24"/>
              </w:rPr>
              <w:t xml:space="preserve">lista obecności z pierwszej formy wsparcia, </w:t>
            </w:r>
            <w:r w:rsidRPr="00966C1A">
              <w:rPr>
                <w:rFonts w:ascii="Arial" w:hAnsi="Arial" w:cs="Arial"/>
                <w:noProof/>
                <w:color w:val="000000" w:themeColor="text1"/>
                <w:sz w:val="24"/>
                <w:szCs w:val="24"/>
              </w:rPr>
              <w:t xml:space="preserve">zaświadczenie z odpowiedniej instytucji lub w przypadku jego braku oświadczenie. </w:t>
            </w:r>
          </w:p>
          <w:p w14:paraId="3D8078EF" w14:textId="72CA5B70" w:rsidR="00FB68C1" w:rsidRPr="00966C1A" w:rsidRDefault="00FB68C1" w:rsidP="00FB68C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color w:val="000000" w:themeColor="text1"/>
                <w:sz w:val="24"/>
                <w:szCs w:val="24"/>
              </w:rPr>
              <w:t>Moment pomiaru: w momencie przystąpienia do pierwszej formy wsparcia.</w:t>
            </w:r>
          </w:p>
        </w:tc>
      </w:tr>
    </w:tbl>
    <w:p w14:paraId="14EA61C2" w14:textId="1717E9DB" w:rsidR="00A33E7A" w:rsidRPr="0068130C" w:rsidRDefault="00A33E7A" w:rsidP="00CF3F89">
      <w:pPr>
        <w:spacing w:before="240" w:after="240"/>
        <w:rPr>
          <w:sz w:val="28"/>
          <w:szCs w:val="28"/>
        </w:rPr>
      </w:pPr>
      <w:r w:rsidRPr="0068130C">
        <w:rPr>
          <w:rFonts w:ascii="Arial" w:hAnsi="Arial" w:cs="Arial"/>
          <w:b/>
          <w:bCs/>
          <w:noProof/>
          <w:color w:val="2E74B5" w:themeColor="accent5" w:themeShade="BF"/>
          <w:sz w:val="28"/>
          <w:szCs w:val="28"/>
        </w:rPr>
        <w:lastRenderedPageBreak/>
        <w:t>Wspólne wskaźniki produktu dotyczące podmiotów</w:t>
      </w:r>
    </w:p>
    <w:tbl>
      <w:tblPr>
        <w:tblStyle w:val="Tabela-Siatka"/>
        <w:tblW w:w="0" w:type="auto"/>
        <w:tblLook w:val="04A0" w:firstRow="1" w:lastRow="0" w:firstColumn="1" w:lastColumn="0" w:noHBand="0" w:noVBand="1"/>
      </w:tblPr>
      <w:tblGrid>
        <w:gridCol w:w="561"/>
        <w:gridCol w:w="2711"/>
        <w:gridCol w:w="6788"/>
        <w:gridCol w:w="3934"/>
      </w:tblGrid>
      <w:tr w:rsidR="007D48B3" w:rsidRPr="00966C1A" w14:paraId="3D67D156" w14:textId="77777777" w:rsidTr="00486A58">
        <w:trPr>
          <w:tblHeader/>
        </w:trPr>
        <w:tc>
          <w:tcPr>
            <w:tcW w:w="561" w:type="dxa"/>
          </w:tcPr>
          <w:p w14:paraId="3289444C" w14:textId="5B205F47" w:rsidR="007D48B3" w:rsidRPr="00966C1A" w:rsidRDefault="007D48B3" w:rsidP="007D48B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Nr</w:t>
            </w:r>
          </w:p>
        </w:tc>
        <w:tc>
          <w:tcPr>
            <w:tcW w:w="2711" w:type="dxa"/>
          </w:tcPr>
          <w:p w14:paraId="570DF3D8" w14:textId="03F4110C" w:rsidR="007D48B3" w:rsidRPr="00966C1A" w:rsidRDefault="007D48B3" w:rsidP="007D48B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Kod i nazwa</w:t>
            </w:r>
          </w:p>
        </w:tc>
        <w:tc>
          <w:tcPr>
            <w:tcW w:w="6788" w:type="dxa"/>
          </w:tcPr>
          <w:p w14:paraId="4D50964F" w14:textId="453E9C33" w:rsidR="007D48B3" w:rsidRPr="00966C1A" w:rsidRDefault="007D48B3" w:rsidP="007D48B3">
            <w:pPr>
              <w:autoSpaceDE w:val="0"/>
              <w:autoSpaceDN w:val="0"/>
              <w:adjustRightInd w:val="0"/>
              <w:spacing w:before="120" w:after="120" w:line="276" w:lineRule="auto"/>
              <w:rPr>
                <w:rFonts w:ascii="Arial" w:hAnsi="Arial" w:cs="Arial"/>
                <w:noProof/>
                <w:sz w:val="24"/>
                <w:szCs w:val="24"/>
              </w:rPr>
            </w:pPr>
            <w:r w:rsidRPr="00966C1A">
              <w:rPr>
                <w:rFonts w:ascii="Arial" w:hAnsi="Arial" w:cs="Arial"/>
                <w:b/>
                <w:bCs/>
                <w:noProof/>
                <w:sz w:val="24"/>
                <w:szCs w:val="24"/>
              </w:rPr>
              <w:t>Definicja</w:t>
            </w:r>
          </w:p>
        </w:tc>
        <w:tc>
          <w:tcPr>
            <w:tcW w:w="3934" w:type="dxa"/>
          </w:tcPr>
          <w:p w14:paraId="27A343AB" w14:textId="0DFB3C21" w:rsidR="007D48B3" w:rsidRPr="00966C1A" w:rsidRDefault="007D48B3" w:rsidP="007D48B3">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b/>
                <w:bCs/>
                <w:noProof/>
                <w:sz w:val="24"/>
                <w:szCs w:val="24"/>
              </w:rPr>
              <w:t>Rekomendowane źródła danych do pomiaru wskaźników i moment pomiaru</w:t>
            </w:r>
          </w:p>
        </w:tc>
      </w:tr>
      <w:tr w:rsidR="00C67F8E" w:rsidRPr="00B63482" w14:paraId="00E5B0BD" w14:textId="77777777" w:rsidTr="00486A58">
        <w:tc>
          <w:tcPr>
            <w:tcW w:w="561" w:type="dxa"/>
          </w:tcPr>
          <w:p w14:paraId="7436A10C" w14:textId="47AEC0A2"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1</w:t>
            </w:r>
          </w:p>
        </w:tc>
        <w:tc>
          <w:tcPr>
            <w:tcW w:w="2711" w:type="dxa"/>
          </w:tcPr>
          <w:p w14:paraId="6ECD3E78" w14:textId="7F3F158B" w:rsidR="00C67F8E" w:rsidRPr="00966C1A" w:rsidRDefault="007A4174"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WLWK-</w:t>
            </w:r>
            <w:r w:rsidR="00C67F8E" w:rsidRPr="00966C1A">
              <w:rPr>
                <w:rFonts w:ascii="Arial" w:hAnsi="Arial" w:cs="Arial"/>
                <w:noProof/>
                <w:sz w:val="24"/>
                <w:szCs w:val="24"/>
              </w:rPr>
              <w:t xml:space="preserve">EECO18 </w:t>
            </w:r>
            <w:r w:rsidR="00C67F8E" w:rsidRPr="00966C1A">
              <w:rPr>
                <w:rFonts w:ascii="Arial" w:hAnsi="Arial" w:cs="Arial"/>
                <w:noProof/>
                <w:sz w:val="24"/>
                <w:szCs w:val="24"/>
              </w:rPr>
              <w:br/>
              <w:t xml:space="preserve">Liczba objętych wsparciem podmiotów administracji publicznej lub służb publicznych na szczeblu krajowym, </w:t>
            </w:r>
            <w:r w:rsidR="00C67F8E" w:rsidRPr="00966C1A">
              <w:rPr>
                <w:rFonts w:ascii="Arial" w:hAnsi="Arial" w:cs="Arial"/>
                <w:noProof/>
                <w:sz w:val="24"/>
                <w:szCs w:val="24"/>
              </w:rPr>
              <w:lastRenderedPageBreak/>
              <w:t>regionalnym lub lokalnym</w:t>
            </w:r>
          </w:p>
        </w:tc>
        <w:tc>
          <w:tcPr>
            <w:tcW w:w="6788" w:type="dxa"/>
          </w:tcPr>
          <w:p w14:paraId="52E27E33" w14:textId="7EC96B07"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Za służby publiczne uznaje się publiczne lub prywatne podmioty, które świadczą usługi publiczne (w przypadku usług publicznych zlecanych przez państwo podmiotom prywatnym lub świadczonych w ramach partnerstwa publiczno-prywatnego).</w:t>
            </w:r>
          </w:p>
          <w:p w14:paraId="56104710" w14:textId="1755B0FC"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lastRenderedPageBreak/>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4983172A" w14:textId="4D73787B"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Informacje dotyczące podmiotów objętych wsparciem powinny pochodzić z dokumentów administracyjnych np. z umów o dofinansowanie.</w:t>
            </w:r>
          </w:p>
          <w:p w14:paraId="451C84BE" w14:textId="61E1E4B8"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Do wskaźnika wliczane są tylko te podmioty, dla których można wyróżnić wydatki (nie dotyczy pomocy technicznej).</w:t>
            </w:r>
          </w:p>
          <w:p w14:paraId="721D48BC" w14:textId="77777777" w:rsidR="00C67F8E" w:rsidRPr="00966C1A" w:rsidRDefault="00C67F8E" w:rsidP="00321C31">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Podmiot jest wliczany do wskaźnika w momencie rozpoczęcia udziału w projekcie.</w:t>
            </w:r>
          </w:p>
        </w:tc>
        <w:tc>
          <w:tcPr>
            <w:tcW w:w="3934" w:type="dxa"/>
          </w:tcPr>
          <w:p w14:paraId="250C552B" w14:textId="7870A7E3" w:rsidR="00D36487" w:rsidRPr="00966C1A" w:rsidRDefault="00452195"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Źródła danych do pomiaru:</w:t>
            </w:r>
            <w:r w:rsidR="009E461A" w:rsidRPr="00966C1A">
              <w:rPr>
                <w:rFonts w:ascii="Arial" w:hAnsi="Arial" w:cs="Arial"/>
                <w:color w:val="000000" w:themeColor="text1"/>
                <w:sz w:val="24"/>
                <w:szCs w:val="24"/>
              </w:rPr>
              <w:br/>
            </w:r>
            <w:r w:rsidRPr="00966C1A">
              <w:rPr>
                <w:rFonts w:ascii="Arial" w:hAnsi="Arial" w:cs="Arial"/>
                <w:color w:val="000000" w:themeColor="text1"/>
                <w:sz w:val="24"/>
                <w:szCs w:val="24"/>
              </w:rPr>
              <w:t>umowy na świadczenie usług</w:t>
            </w:r>
            <w:r w:rsidR="009C5379" w:rsidRPr="00966C1A">
              <w:rPr>
                <w:rFonts w:ascii="Arial" w:hAnsi="Arial" w:cs="Arial"/>
                <w:color w:val="000000" w:themeColor="text1"/>
                <w:sz w:val="24"/>
                <w:szCs w:val="24"/>
              </w:rPr>
              <w:t>,</w:t>
            </w:r>
            <w:r w:rsidR="0008284D" w:rsidRPr="00966C1A">
              <w:rPr>
                <w:rFonts w:ascii="Arial" w:hAnsi="Arial" w:cs="Arial"/>
                <w:color w:val="000000" w:themeColor="text1"/>
                <w:sz w:val="24"/>
                <w:szCs w:val="24"/>
              </w:rPr>
              <w:t xml:space="preserve"> protokoły zdawczo-odbiorcze, listy</w:t>
            </w:r>
            <w:r w:rsidRPr="00966C1A">
              <w:rPr>
                <w:rFonts w:ascii="Arial" w:hAnsi="Arial" w:cs="Arial"/>
                <w:color w:val="000000" w:themeColor="text1"/>
                <w:sz w:val="24"/>
                <w:szCs w:val="24"/>
              </w:rPr>
              <w:t xml:space="preserve"> obecności z udziału w pierwszej formie wsparcia. </w:t>
            </w:r>
          </w:p>
          <w:p w14:paraId="687C3AB9" w14:textId="25108161" w:rsidR="00C67F8E" w:rsidRPr="00EC1518" w:rsidRDefault="00452195" w:rsidP="00321C31">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Moment pomiaru: w momencie objęcia podmiotu pierwszą formą wsparcia.</w:t>
            </w:r>
          </w:p>
        </w:tc>
      </w:tr>
    </w:tbl>
    <w:p w14:paraId="0401652A" w14:textId="036193EE" w:rsidR="00680BE5" w:rsidRPr="00F927CC" w:rsidRDefault="00680BE5" w:rsidP="00F927CC">
      <w:pPr>
        <w:spacing w:before="240" w:after="240"/>
        <w:rPr>
          <w:sz w:val="32"/>
          <w:szCs w:val="32"/>
        </w:rPr>
      </w:pPr>
    </w:p>
    <w:sectPr w:rsidR="00680BE5" w:rsidRPr="00F927CC" w:rsidSect="0091300C">
      <w:headerReference w:type="default" r:id="rId8"/>
      <w:headerReference w:type="first" r:id="rId9"/>
      <w:endnotePr>
        <w:numFmt w:val="decimal"/>
      </w:endnotePr>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F73A9" w14:textId="77777777" w:rsidR="00087B40" w:rsidRDefault="00087B40" w:rsidP="00420AF5">
      <w:pPr>
        <w:spacing w:before="0" w:line="240" w:lineRule="auto"/>
      </w:pPr>
      <w:r>
        <w:separator/>
      </w:r>
    </w:p>
  </w:endnote>
  <w:endnote w:type="continuationSeparator" w:id="0">
    <w:p w14:paraId="60E22079" w14:textId="77777777" w:rsidR="00087B40" w:rsidRDefault="00087B40"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35ABE" w14:textId="77777777" w:rsidR="00087B40" w:rsidRDefault="00087B40" w:rsidP="00420AF5">
      <w:pPr>
        <w:spacing w:before="0" w:line="240" w:lineRule="auto"/>
      </w:pPr>
      <w:r>
        <w:separator/>
      </w:r>
    </w:p>
  </w:footnote>
  <w:footnote w:type="continuationSeparator" w:id="0">
    <w:p w14:paraId="6614BADD" w14:textId="77777777" w:rsidR="00087B40" w:rsidRDefault="00087B40"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9BF2A" w14:textId="07156B22" w:rsidR="0091300C" w:rsidRPr="0091300C" w:rsidRDefault="0041698A" w:rsidP="0041698A">
    <w:pPr>
      <w:pStyle w:val="Nagwek"/>
      <w:rPr>
        <w:rFonts w:cs="Arial"/>
        <w:i w:val="0"/>
        <w:iCs/>
        <w:sz w:val="22"/>
        <w:szCs w:val="22"/>
      </w:rPr>
    </w:pPr>
    <w:r>
      <w:rPr>
        <w:rFonts w:cs="Arial"/>
        <w:i w:val="0"/>
        <w:iCs/>
        <w:noProof/>
        <w:sz w:val="22"/>
        <w:szCs w:val="22"/>
      </w:rPr>
      <w:drawing>
        <wp:inline distT="0" distB="0" distL="0" distR="0" wp14:anchorId="5FE0998E" wp14:editId="6909F741">
          <wp:extent cx="5761355" cy="536575"/>
          <wp:effectExtent l="0" t="0" r="0" b="0"/>
          <wp:docPr id="1666671169"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671169"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051C8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4"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590DB0"/>
    <w:multiLevelType w:val="multilevel"/>
    <w:tmpl w:val="B536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65378E"/>
    <w:multiLevelType w:val="multilevel"/>
    <w:tmpl w:val="F2347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6"/>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40"/>
  </w:num>
  <w:num w:numId="9" w16cid:durableId="670570601">
    <w:abstractNumId w:val="10"/>
  </w:num>
  <w:num w:numId="10" w16cid:durableId="893464177">
    <w:abstractNumId w:val="34"/>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5"/>
  </w:num>
  <w:num w:numId="18" w16cid:durableId="2096781825">
    <w:abstractNumId w:val="18"/>
  </w:num>
  <w:num w:numId="19" w16cid:durableId="4286135">
    <w:abstractNumId w:val="6"/>
  </w:num>
  <w:num w:numId="20" w16cid:durableId="506019350">
    <w:abstractNumId w:val="9"/>
  </w:num>
  <w:num w:numId="21" w16cid:durableId="1675256969">
    <w:abstractNumId w:val="30"/>
  </w:num>
  <w:num w:numId="22" w16cid:durableId="429469062">
    <w:abstractNumId w:val="28"/>
  </w:num>
  <w:num w:numId="23" w16cid:durableId="490490805">
    <w:abstractNumId w:val="16"/>
  </w:num>
  <w:num w:numId="24" w16cid:durableId="768086884">
    <w:abstractNumId w:val="32"/>
  </w:num>
  <w:num w:numId="25" w16cid:durableId="1970503637">
    <w:abstractNumId w:val="13"/>
  </w:num>
  <w:num w:numId="26" w16cid:durableId="2123110680">
    <w:abstractNumId w:val="2"/>
  </w:num>
  <w:num w:numId="27" w16cid:durableId="824933110">
    <w:abstractNumId w:val="27"/>
  </w:num>
  <w:num w:numId="28" w16cid:durableId="771626824">
    <w:abstractNumId w:val="37"/>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3"/>
  </w:num>
  <w:num w:numId="35" w16cid:durableId="545027673">
    <w:abstractNumId w:val="26"/>
  </w:num>
  <w:num w:numId="36" w16cid:durableId="1041515703">
    <w:abstractNumId w:val="29"/>
  </w:num>
  <w:num w:numId="37" w16cid:durableId="636569209">
    <w:abstractNumId w:val="31"/>
  </w:num>
  <w:num w:numId="38" w16cid:durableId="308872972">
    <w:abstractNumId w:val="42"/>
  </w:num>
  <w:num w:numId="39" w16cid:durableId="1141074354">
    <w:abstractNumId w:val="14"/>
  </w:num>
  <w:num w:numId="40" w16cid:durableId="448936527">
    <w:abstractNumId w:val="39"/>
  </w:num>
  <w:num w:numId="41" w16cid:durableId="836657501">
    <w:abstractNumId w:val="1"/>
  </w:num>
  <w:num w:numId="42" w16cid:durableId="1669285508">
    <w:abstractNumId w:val="38"/>
  </w:num>
  <w:num w:numId="43" w16cid:durableId="14730159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A0A"/>
    <w:rsid w:val="0001202A"/>
    <w:rsid w:val="00012CF7"/>
    <w:rsid w:val="0002203A"/>
    <w:rsid w:val="00022491"/>
    <w:rsid w:val="00033595"/>
    <w:rsid w:val="00035ED9"/>
    <w:rsid w:val="0004491B"/>
    <w:rsid w:val="00046F95"/>
    <w:rsid w:val="000516E6"/>
    <w:rsid w:val="00057216"/>
    <w:rsid w:val="0006058E"/>
    <w:rsid w:val="0006611D"/>
    <w:rsid w:val="000669C9"/>
    <w:rsid w:val="000705F9"/>
    <w:rsid w:val="00070BA3"/>
    <w:rsid w:val="000734FA"/>
    <w:rsid w:val="00077F2A"/>
    <w:rsid w:val="0008284D"/>
    <w:rsid w:val="000844A8"/>
    <w:rsid w:val="00087798"/>
    <w:rsid w:val="00087B40"/>
    <w:rsid w:val="00090BFC"/>
    <w:rsid w:val="0009104A"/>
    <w:rsid w:val="00091B1C"/>
    <w:rsid w:val="00092BA5"/>
    <w:rsid w:val="0009655F"/>
    <w:rsid w:val="00096F1C"/>
    <w:rsid w:val="000A546A"/>
    <w:rsid w:val="000A7540"/>
    <w:rsid w:val="000A7787"/>
    <w:rsid w:val="000A7821"/>
    <w:rsid w:val="000B5E53"/>
    <w:rsid w:val="000B6338"/>
    <w:rsid w:val="000B7BE4"/>
    <w:rsid w:val="000C050A"/>
    <w:rsid w:val="000C0E15"/>
    <w:rsid w:val="000D5201"/>
    <w:rsid w:val="000E180D"/>
    <w:rsid w:val="000E1CA1"/>
    <w:rsid w:val="000E322F"/>
    <w:rsid w:val="000E6582"/>
    <w:rsid w:val="000E781F"/>
    <w:rsid w:val="000F6BB4"/>
    <w:rsid w:val="00100255"/>
    <w:rsid w:val="001020E0"/>
    <w:rsid w:val="00103ACE"/>
    <w:rsid w:val="00112EBF"/>
    <w:rsid w:val="00113F58"/>
    <w:rsid w:val="00114E2A"/>
    <w:rsid w:val="00114E59"/>
    <w:rsid w:val="0011676B"/>
    <w:rsid w:val="00117B78"/>
    <w:rsid w:val="0012014E"/>
    <w:rsid w:val="00125898"/>
    <w:rsid w:val="00126C9B"/>
    <w:rsid w:val="00137025"/>
    <w:rsid w:val="001434C0"/>
    <w:rsid w:val="00144CE0"/>
    <w:rsid w:val="001471F0"/>
    <w:rsid w:val="00153315"/>
    <w:rsid w:val="001553C2"/>
    <w:rsid w:val="001604A5"/>
    <w:rsid w:val="0018554E"/>
    <w:rsid w:val="00186E16"/>
    <w:rsid w:val="0018742F"/>
    <w:rsid w:val="00190D9B"/>
    <w:rsid w:val="0019367F"/>
    <w:rsid w:val="0019681D"/>
    <w:rsid w:val="001A29A1"/>
    <w:rsid w:val="001B36F2"/>
    <w:rsid w:val="001C07FE"/>
    <w:rsid w:val="001C162F"/>
    <w:rsid w:val="001C2BFB"/>
    <w:rsid w:val="001C3C03"/>
    <w:rsid w:val="001C5881"/>
    <w:rsid w:val="001C5D9D"/>
    <w:rsid w:val="001C6CF5"/>
    <w:rsid w:val="001C729F"/>
    <w:rsid w:val="001D1C68"/>
    <w:rsid w:val="001D3799"/>
    <w:rsid w:val="001D3FBA"/>
    <w:rsid w:val="001D5872"/>
    <w:rsid w:val="001D78D1"/>
    <w:rsid w:val="001D7CCD"/>
    <w:rsid w:val="001E3E42"/>
    <w:rsid w:val="001E5566"/>
    <w:rsid w:val="001E7971"/>
    <w:rsid w:val="001E7A87"/>
    <w:rsid w:val="001F3188"/>
    <w:rsid w:val="001F31BF"/>
    <w:rsid w:val="00202C60"/>
    <w:rsid w:val="002077C0"/>
    <w:rsid w:val="002126D6"/>
    <w:rsid w:val="00216A34"/>
    <w:rsid w:val="00216E90"/>
    <w:rsid w:val="00221DCA"/>
    <w:rsid w:val="002220B0"/>
    <w:rsid w:val="0022219C"/>
    <w:rsid w:val="002259D5"/>
    <w:rsid w:val="00231DC2"/>
    <w:rsid w:val="00233119"/>
    <w:rsid w:val="0024388B"/>
    <w:rsid w:val="00243FFB"/>
    <w:rsid w:val="00245A73"/>
    <w:rsid w:val="0025255D"/>
    <w:rsid w:val="00252BD3"/>
    <w:rsid w:val="00256553"/>
    <w:rsid w:val="00262E4F"/>
    <w:rsid w:val="00273F12"/>
    <w:rsid w:val="0027476B"/>
    <w:rsid w:val="00274E62"/>
    <w:rsid w:val="0027692E"/>
    <w:rsid w:val="00276BB9"/>
    <w:rsid w:val="0027768F"/>
    <w:rsid w:val="0028157A"/>
    <w:rsid w:val="0028368E"/>
    <w:rsid w:val="0028551F"/>
    <w:rsid w:val="00287174"/>
    <w:rsid w:val="00287684"/>
    <w:rsid w:val="00291594"/>
    <w:rsid w:val="002946AF"/>
    <w:rsid w:val="00295307"/>
    <w:rsid w:val="00296379"/>
    <w:rsid w:val="002A054D"/>
    <w:rsid w:val="002A138F"/>
    <w:rsid w:val="002A6D93"/>
    <w:rsid w:val="002A7262"/>
    <w:rsid w:val="002A7398"/>
    <w:rsid w:val="002B1FE3"/>
    <w:rsid w:val="002B408E"/>
    <w:rsid w:val="002B4367"/>
    <w:rsid w:val="002B6074"/>
    <w:rsid w:val="002B7B0A"/>
    <w:rsid w:val="002D0251"/>
    <w:rsid w:val="002D3028"/>
    <w:rsid w:val="002E17F5"/>
    <w:rsid w:val="002E2EA9"/>
    <w:rsid w:val="002E7AAA"/>
    <w:rsid w:val="002F34A0"/>
    <w:rsid w:val="002F3886"/>
    <w:rsid w:val="002F3AA5"/>
    <w:rsid w:val="002F608A"/>
    <w:rsid w:val="002F7B16"/>
    <w:rsid w:val="003004B1"/>
    <w:rsid w:val="003010B4"/>
    <w:rsid w:val="0030203C"/>
    <w:rsid w:val="00307F89"/>
    <w:rsid w:val="00310006"/>
    <w:rsid w:val="00314348"/>
    <w:rsid w:val="00321A4B"/>
    <w:rsid w:val="00321C31"/>
    <w:rsid w:val="00321F8B"/>
    <w:rsid w:val="003230F4"/>
    <w:rsid w:val="0033089B"/>
    <w:rsid w:val="00335A95"/>
    <w:rsid w:val="00335E30"/>
    <w:rsid w:val="00340C26"/>
    <w:rsid w:val="0034372A"/>
    <w:rsid w:val="003456E9"/>
    <w:rsid w:val="003461F8"/>
    <w:rsid w:val="00346E6C"/>
    <w:rsid w:val="00356B57"/>
    <w:rsid w:val="003817D2"/>
    <w:rsid w:val="00390F49"/>
    <w:rsid w:val="00393EE3"/>
    <w:rsid w:val="00395847"/>
    <w:rsid w:val="003A368C"/>
    <w:rsid w:val="003A3690"/>
    <w:rsid w:val="003A611D"/>
    <w:rsid w:val="003A67B6"/>
    <w:rsid w:val="003A7D54"/>
    <w:rsid w:val="003A7F67"/>
    <w:rsid w:val="003B173D"/>
    <w:rsid w:val="003B3811"/>
    <w:rsid w:val="003B4AEB"/>
    <w:rsid w:val="003C6415"/>
    <w:rsid w:val="003D2716"/>
    <w:rsid w:val="003D5BBB"/>
    <w:rsid w:val="003D64F7"/>
    <w:rsid w:val="003E123A"/>
    <w:rsid w:val="003E25E4"/>
    <w:rsid w:val="003E500C"/>
    <w:rsid w:val="003E5642"/>
    <w:rsid w:val="003F0EAE"/>
    <w:rsid w:val="003F17D1"/>
    <w:rsid w:val="003F30D2"/>
    <w:rsid w:val="003F40AC"/>
    <w:rsid w:val="003F4734"/>
    <w:rsid w:val="003F51B1"/>
    <w:rsid w:val="00403F8E"/>
    <w:rsid w:val="00406525"/>
    <w:rsid w:val="004101CA"/>
    <w:rsid w:val="00411D7F"/>
    <w:rsid w:val="00412A42"/>
    <w:rsid w:val="0041698A"/>
    <w:rsid w:val="00420AF5"/>
    <w:rsid w:val="00425C07"/>
    <w:rsid w:val="00426D3C"/>
    <w:rsid w:val="00427C47"/>
    <w:rsid w:val="0043055B"/>
    <w:rsid w:val="00431F31"/>
    <w:rsid w:val="004421FE"/>
    <w:rsid w:val="00447125"/>
    <w:rsid w:val="00452195"/>
    <w:rsid w:val="00455C50"/>
    <w:rsid w:val="00462F48"/>
    <w:rsid w:val="00463500"/>
    <w:rsid w:val="00463D52"/>
    <w:rsid w:val="004661A7"/>
    <w:rsid w:val="00467C29"/>
    <w:rsid w:val="004729F6"/>
    <w:rsid w:val="00476241"/>
    <w:rsid w:val="00476A77"/>
    <w:rsid w:val="0047794C"/>
    <w:rsid w:val="00477D09"/>
    <w:rsid w:val="00480710"/>
    <w:rsid w:val="0048318D"/>
    <w:rsid w:val="0048446A"/>
    <w:rsid w:val="00484E6E"/>
    <w:rsid w:val="00486140"/>
    <w:rsid w:val="00486A58"/>
    <w:rsid w:val="004A08EC"/>
    <w:rsid w:val="004A20D6"/>
    <w:rsid w:val="004A2B7E"/>
    <w:rsid w:val="004A4F08"/>
    <w:rsid w:val="004B6675"/>
    <w:rsid w:val="004B7417"/>
    <w:rsid w:val="004B7CFA"/>
    <w:rsid w:val="004C2E08"/>
    <w:rsid w:val="004C3322"/>
    <w:rsid w:val="004D1B80"/>
    <w:rsid w:val="004E0850"/>
    <w:rsid w:val="004E20D4"/>
    <w:rsid w:val="004E247D"/>
    <w:rsid w:val="004E3770"/>
    <w:rsid w:val="004F00E0"/>
    <w:rsid w:val="004F09CD"/>
    <w:rsid w:val="004F1C4A"/>
    <w:rsid w:val="005068A6"/>
    <w:rsid w:val="0051377B"/>
    <w:rsid w:val="005149C6"/>
    <w:rsid w:val="00516A06"/>
    <w:rsid w:val="005206EE"/>
    <w:rsid w:val="00527344"/>
    <w:rsid w:val="0053614E"/>
    <w:rsid w:val="00542D82"/>
    <w:rsid w:val="00543E93"/>
    <w:rsid w:val="00546309"/>
    <w:rsid w:val="00552504"/>
    <w:rsid w:val="005526F7"/>
    <w:rsid w:val="00554B03"/>
    <w:rsid w:val="005576FC"/>
    <w:rsid w:val="0057440E"/>
    <w:rsid w:val="00581556"/>
    <w:rsid w:val="0058334A"/>
    <w:rsid w:val="00583A6A"/>
    <w:rsid w:val="00592849"/>
    <w:rsid w:val="00593837"/>
    <w:rsid w:val="00595B7C"/>
    <w:rsid w:val="005A15FE"/>
    <w:rsid w:val="005A52FA"/>
    <w:rsid w:val="005A691A"/>
    <w:rsid w:val="005B196F"/>
    <w:rsid w:val="005B24B5"/>
    <w:rsid w:val="005B3694"/>
    <w:rsid w:val="005B4437"/>
    <w:rsid w:val="005B661E"/>
    <w:rsid w:val="005B7283"/>
    <w:rsid w:val="005C362F"/>
    <w:rsid w:val="005C5238"/>
    <w:rsid w:val="005D64D9"/>
    <w:rsid w:val="005E1F21"/>
    <w:rsid w:val="005E4842"/>
    <w:rsid w:val="005E775B"/>
    <w:rsid w:val="005F218E"/>
    <w:rsid w:val="005F787E"/>
    <w:rsid w:val="006021F5"/>
    <w:rsid w:val="00603C1C"/>
    <w:rsid w:val="00604090"/>
    <w:rsid w:val="0060416D"/>
    <w:rsid w:val="00613C6D"/>
    <w:rsid w:val="006222C6"/>
    <w:rsid w:val="00622821"/>
    <w:rsid w:val="00623CDE"/>
    <w:rsid w:val="006253B5"/>
    <w:rsid w:val="00625520"/>
    <w:rsid w:val="00627016"/>
    <w:rsid w:val="00627A45"/>
    <w:rsid w:val="006318D8"/>
    <w:rsid w:val="00632AA6"/>
    <w:rsid w:val="00632DE8"/>
    <w:rsid w:val="0063462A"/>
    <w:rsid w:val="00636821"/>
    <w:rsid w:val="0063716E"/>
    <w:rsid w:val="0063756B"/>
    <w:rsid w:val="00640214"/>
    <w:rsid w:val="00646EE2"/>
    <w:rsid w:val="006519D2"/>
    <w:rsid w:val="006556ED"/>
    <w:rsid w:val="00667CC6"/>
    <w:rsid w:val="006721EC"/>
    <w:rsid w:val="00676663"/>
    <w:rsid w:val="006779D2"/>
    <w:rsid w:val="00680BE5"/>
    <w:rsid w:val="0068130C"/>
    <w:rsid w:val="00682DD4"/>
    <w:rsid w:val="006830DB"/>
    <w:rsid w:val="00684186"/>
    <w:rsid w:val="0068432A"/>
    <w:rsid w:val="0069108C"/>
    <w:rsid w:val="0069194A"/>
    <w:rsid w:val="00691B12"/>
    <w:rsid w:val="006929CC"/>
    <w:rsid w:val="00693B4B"/>
    <w:rsid w:val="0069443E"/>
    <w:rsid w:val="00695DA8"/>
    <w:rsid w:val="006A220F"/>
    <w:rsid w:val="006A5F35"/>
    <w:rsid w:val="006B289E"/>
    <w:rsid w:val="006B4670"/>
    <w:rsid w:val="006B59AB"/>
    <w:rsid w:val="006C60CB"/>
    <w:rsid w:val="006C69E3"/>
    <w:rsid w:val="006D5BB4"/>
    <w:rsid w:val="006E7200"/>
    <w:rsid w:val="006E7C6F"/>
    <w:rsid w:val="006F0C08"/>
    <w:rsid w:val="006F377C"/>
    <w:rsid w:val="006F774C"/>
    <w:rsid w:val="00703A70"/>
    <w:rsid w:val="007056CC"/>
    <w:rsid w:val="007109B7"/>
    <w:rsid w:val="007120FF"/>
    <w:rsid w:val="0072019E"/>
    <w:rsid w:val="0072374E"/>
    <w:rsid w:val="00726ADD"/>
    <w:rsid w:val="00726F37"/>
    <w:rsid w:val="00735294"/>
    <w:rsid w:val="0074351C"/>
    <w:rsid w:val="00752532"/>
    <w:rsid w:val="007532BA"/>
    <w:rsid w:val="00753EE3"/>
    <w:rsid w:val="00756D24"/>
    <w:rsid w:val="007629F7"/>
    <w:rsid w:val="00773F04"/>
    <w:rsid w:val="00781170"/>
    <w:rsid w:val="00786C06"/>
    <w:rsid w:val="00797EAF"/>
    <w:rsid w:val="007A12AB"/>
    <w:rsid w:val="007A2BB8"/>
    <w:rsid w:val="007A4174"/>
    <w:rsid w:val="007B21FE"/>
    <w:rsid w:val="007B580F"/>
    <w:rsid w:val="007B592E"/>
    <w:rsid w:val="007B67DD"/>
    <w:rsid w:val="007D48B3"/>
    <w:rsid w:val="007E1D67"/>
    <w:rsid w:val="007F0DB5"/>
    <w:rsid w:val="007F4065"/>
    <w:rsid w:val="007F726A"/>
    <w:rsid w:val="00802EAE"/>
    <w:rsid w:val="0080579B"/>
    <w:rsid w:val="008114BB"/>
    <w:rsid w:val="00811DF9"/>
    <w:rsid w:val="008173FF"/>
    <w:rsid w:val="008268F9"/>
    <w:rsid w:val="00830F89"/>
    <w:rsid w:val="00831A6D"/>
    <w:rsid w:val="00832AB6"/>
    <w:rsid w:val="00833E70"/>
    <w:rsid w:val="00834E83"/>
    <w:rsid w:val="008370B4"/>
    <w:rsid w:val="008441BA"/>
    <w:rsid w:val="00845BE6"/>
    <w:rsid w:val="00846EAD"/>
    <w:rsid w:val="008515C3"/>
    <w:rsid w:val="008521BD"/>
    <w:rsid w:val="00852743"/>
    <w:rsid w:val="00857102"/>
    <w:rsid w:val="00864647"/>
    <w:rsid w:val="0087086D"/>
    <w:rsid w:val="008722D7"/>
    <w:rsid w:val="00876978"/>
    <w:rsid w:val="0087702C"/>
    <w:rsid w:val="008A5173"/>
    <w:rsid w:val="008A54F9"/>
    <w:rsid w:val="008A6717"/>
    <w:rsid w:val="008B2B8A"/>
    <w:rsid w:val="008B6FD5"/>
    <w:rsid w:val="008C1946"/>
    <w:rsid w:val="008D3637"/>
    <w:rsid w:val="008D4357"/>
    <w:rsid w:val="008D548D"/>
    <w:rsid w:val="008D5DBD"/>
    <w:rsid w:val="008E1C16"/>
    <w:rsid w:val="008E21AC"/>
    <w:rsid w:val="008E2C2E"/>
    <w:rsid w:val="008F10F8"/>
    <w:rsid w:val="008F2384"/>
    <w:rsid w:val="00901416"/>
    <w:rsid w:val="0090395F"/>
    <w:rsid w:val="00903B34"/>
    <w:rsid w:val="0090469C"/>
    <w:rsid w:val="00905C33"/>
    <w:rsid w:val="00906424"/>
    <w:rsid w:val="00907448"/>
    <w:rsid w:val="009075B6"/>
    <w:rsid w:val="00912824"/>
    <w:rsid w:val="00912ED8"/>
    <w:rsid w:val="0091300C"/>
    <w:rsid w:val="00914C30"/>
    <w:rsid w:val="00923ACD"/>
    <w:rsid w:val="00933F81"/>
    <w:rsid w:val="00936D2C"/>
    <w:rsid w:val="0094161D"/>
    <w:rsid w:val="009465B1"/>
    <w:rsid w:val="009469C4"/>
    <w:rsid w:val="00946B6B"/>
    <w:rsid w:val="009504CD"/>
    <w:rsid w:val="00951DA7"/>
    <w:rsid w:val="00953942"/>
    <w:rsid w:val="0095421C"/>
    <w:rsid w:val="0095661C"/>
    <w:rsid w:val="00962084"/>
    <w:rsid w:val="00962E39"/>
    <w:rsid w:val="00966C1A"/>
    <w:rsid w:val="00967D37"/>
    <w:rsid w:val="0097413E"/>
    <w:rsid w:val="009811D4"/>
    <w:rsid w:val="009814CA"/>
    <w:rsid w:val="00982F4D"/>
    <w:rsid w:val="00985A84"/>
    <w:rsid w:val="00986645"/>
    <w:rsid w:val="00986B49"/>
    <w:rsid w:val="00991584"/>
    <w:rsid w:val="009931F4"/>
    <w:rsid w:val="00994AFA"/>
    <w:rsid w:val="00995301"/>
    <w:rsid w:val="00995BE9"/>
    <w:rsid w:val="00997E19"/>
    <w:rsid w:val="009A31B8"/>
    <w:rsid w:val="009A4EE1"/>
    <w:rsid w:val="009A5BE8"/>
    <w:rsid w:val="009B33E0"/>
    <w:rsid w:val="009B5419"/>
    <w:rsid w:val="009C0900"/>
    <w:rsid w:val="009C0BE4"/>
    <w:rsid w:val="009C1B7F"/>
    <w:rsid w:val="009C5379"/>
    <w:rsid w:val="009E002C"/>
    <w:rsid w:val="009E23A0"/>
    <w:rsid w:val="009E461A"/>
    <w:rsid w:val="009E6EB6"/>
    <w:rsid w:val="009E6F75"/>
    <w:rsid w:val="009E7E96"/>
    <w:rsid w:val="009F4FCC"/>
    <w:rsid w:val="00A01A5A"/>
    <w:rsid w:val="00A06813"/>
    <w:rsid w:val="00A06B45"/>
    <w:rsid w:val="00A130FD"/>
    <w:rsid w:val="00A13B8A"/>
    <w:rsid w:val="00A141BA"/>
    <w:rsid w:val="00A17C81"/>
    <w:rsid w:val="00A17EA0"/>
    <w:rsid w:val="00A25C81"/>
    <w:rsid w:val="00A25D14"/>
    <w:rsid w:val="00A31624"/>
    <w:rsid w:val="00A33E7A"/>
    <w:rsid w:val="00A34CC0"/>
    <w:rsid w:val="00A35877"/>
    <w:rsid w:val="00A35EA0"/>
    <w:rsid w:val="00A36419"/>
    <w:rsid w:val="00A3686F"/>
    <w:rsid w:val="00A36FB8"/>
    <w:rsid w:val="00A431B0"/>
    <w:rsid w:val="00A45976"/>
    <w:rsid w:val="00A4617B"/>
    <w:rsid w:val="00A47E36"/>
    <w:rsid w:val="00A51D2A"/>
    <w:rsid w:val="00A54EA0"/>
    <w:rsid w:val="00A56CA2"/>
    <w:rsid w:val="00A57E01"/>
    <w:rsid w:val="00A60941"/>
    <w:rsid w:val="00A62221"/>
    <w:rsid w:val="00A664E9"/>
    <w:rsid w:val="00A71A4A"/>
    <w:rsid w:val="00A73910"/>
    <w:rsid w:val="00A87DFF"/>
    <w:rsid w:val="00A909B5"/>
    <w:rsid w:val="00A947A8"/>
    <w:rsid w:val="00AA43D9"/>
    <w:rsid w:val="00AB1B73"/>
    <w:rsid w:val="00AB47BA"/>
    <w:rsid w:val="00AB686C"/>
    <w:rsid w:val="00AB76A5"/>
    <w:rsid w:val="00AC2830"/>
    <w:rsid w:val="00AC3EFE"/>
    <w:rsid w:val="00AC4069"/>
    <w:rsid w:val="00AC41BD"/>
    <w:rsid w:val="00AC6694"/>
    <w:rsid w:val="00AC6B95"/>
    <w:rsid w:val="00AC6D9C"/>
    <w:rsid w:val="00AC732F"/>
    <w:rsid w:val="00AD1BD6"/>
    <w:rsid w:val="00AD5489"/>
    <w:rsid w:val="00AD6482"/>
    <w:rsid w:val="00AD6968"/>
    <w:rsid w:val="00AE21F0"/>
    <w:rsid w:val="00AE3309"/>
    <w:rsid w:val="00AE592C"/>
    <w:rsid w:val="00AF4692"/>
    <w:rsid w:val="00AF5628"/>
    <w:rsid w:val="00B0591F"/>
    <w:rsid w:val="00B0722B"/>
    <w:rsid w:val="00B1331B"/>
    <w:rsid w:val="00B22815"/>
    <w:rsid w:val="00B27A81"/>
    <w:rsid w:val="00B31CCB"/>
    <w:rsid w:val="00B320CA"/>
    <w:rsid w:val="00B322D9"/>
    <w:rsid w:val="00B34EE6"/>
    <w:rsid w:val="00B4276E"/>
    <w:rsid w:val="00B4449D"/>
    <w:rsid w:val="00B44697"/>
    <w:rsid w:val="00B448B4"/>
    <w:rsid w:val="00B60078"/>
    <w:rsid w:val="00B63482"/>
    <w:rsid w:val="00B66513"/>
    <w:rsid w:val="00B66BD2"/>
    <w:rsid w:val="00B74A3C"/>
    <w:rsid w:val="00B77E56"/>
    <w:rsid w:val="00B8218E"/>
    <w:rsid w:val="00B84F31"/>
    <w:rsid w:val="00B9154D"/>
    <w:rsid w:val="00B91B8A"/>
    <w:rsid w:val="00B923B6"/>
    <w:rsid w:val="00B958AB"/>
    <w:rsid w:val="00B96115"/>
    <w:rsid w:val="00B96425"/>
    <w:rsid w:val="00BA029F"/>
    <w:rsid w:val="00BA1482"/>
    <w:rsid w:val="00BA1561"/>
    <w:rsid w:val="00BB48B4"/>
    <w:rsid w:val="00BB6AB7"/>
    <w:rsid w:val="00BC520A"/>
    <w:rsid w:val="00BC5C61"/>
    <w:rsid w:val="00BD2E83"/>
    <w:rsid w:val="00BD3B9E"/>
    <w:rsid w:val="00BD6D8E"/>
    <w:rsid w:val="00BE0036"/>
    <w:rsid w:val="00BE6F4D"/>
    <w:rsid w:val="00BF4D64"/>
    <w:rsid w:val="00BF5290"/>
    <w:rsid w:val="00BF600D"/>
    <w:rsid w:val="00BF7636"/>
    <w:rsid w:val="00C00680"/>
    <w:rsid w:val="00C14C95"/>
    <w:rsid w:val="00C162DD"/>
    <w:rsid w:val="00C16A9E"/>
    <w:rsid w:val="00C21A46"/>
    <w:rsid w:val="00C21D8B"/>
    <w:rsid w:val="00C22016"/>
    <w:rsid w:val="00C2588C"/>
    <w:rsid w:val="00C2599C"/>
    <w:rsid w:val="00C33627"/>
    <w:rsid w:val="00C35D07"/>
    <w:rsid w:val="00C35D7E"/>
    <w:rsid w:val="00C37750"/>
    <w:rsid w:val="00C40A33"/>
    <w:rsid w:val="00C4480A"/>
    <w:rsid w:val="00C4505E"/>
    <w:rsid w:val="00C505E0"/>
    <w:rsid w:val="00C53F03"/>
    <w:rsid w:val="00C60C7C"/>
    <w:rsid w:val="00C6376D"/>
    <w:rsid w:val="00C6442E"/>
    <w:rsid w:val="00C6458A"/>
    <w:rsid w:val="00C67F8E"/>
    <w:rsid w:val="00C7080D"/>
    <w:rsid w:val="00C711EA"/>
    <w:rsid w:val="00C73BCA"/>
    <w:rsid w:val="00C7565E"/>
    <w:rsid w:val="00C77FAD"/>
    <w:rsid w:val="00C827D4"/>
    <w:rsid w:val="00C82A02"/>
    <w:rsid w:val="00C8383B"/>
    <w:rsid w:val="00C87716"/>
    <w:rsid w:val="00C907C7"/>
    <w:rsid w:val="00C92022"/>
    <w:rsid w:val="00C94C63"/>
    <w:rsid w:val="00CB022E"/>
    <w:rsid w:val="00CB05A2"/>
    <w:rsid w:val="00CB4D85"/>
    <w:rsid w:val="00CB707F"/>
    <w:rsid w:val="00CB7479"/>
    <w:rsid w:val="00CC118D"/>
    <w:rsid w:val="00CC7C55"/>
    <w:rsid w:val="00CD1D31"/>
    <w:rsid w:val="00CD1DC7"/>
    <w:rsid w:val="00CD53E9"/>
    <w:rsid w:val="00CD7041"/>
    <w:rsid w:val="00CD73AF"/>
    <w:rsid w:val="00CE4923"/>
    <w:rsid w:val="00CF3F89"/>
    <w:rsid w:val="00CF4AE3"/>
    <w:rsid w:val="00CF54E3"/>
    <w:rsid w:val="00CF6A82"/>
    <w:rsid w:val="00CF7FC7"/>
    <w:rsid w:val="00D05737"/>
    <w:rsid w:val="00D1088A"/>
    <w:rsid w:val="00D12A15"/>
    <w:rsid w:val="00D13C86"/>
    <w:rsid w:val="00D1437E"/>
    <w:rsid w:val="00D15730"/>
    <w:rsid w:val="00D223DD"/>
    <w:rsid w:val="00D227C4"/>
    <w:rsid w:val="00D22A52"/>
    <w:rsid w:val="00D23D51"/>
    <w:rsid w:val="00D2533D"/>
    <w:rsid w:val="00D26E8B"/>
    <w:rsid w:val="00D31A40"/>
    <w:rsid w:val="00D35A9F"/>
    <w:rsid w:val="00D36487"/>
    <w:rsid w:val="00D404BE"/>
    <w:rsid w:val="00D4319E"/>
    <w:rsid w:val="00D46B57"/>
    <w:rsid w:val="00D540C2"/>
    <w:rsid w:val="00D54A31"/>
    <w:rsid w:val="00D57A46"/>
    <w:rsid w:val="00D60E3B"/>
    <w:rsid w:val="00D6211F"/>
    <w:rsid w:val="00D63414"/>
    <w:rsid w:val="00D64090"/>
    <w:rsid w:val="00D64284"/>
    <w:rsid w:val="00D648E3"/>
    <w:rsid w:val="00D70E02"/>
    <w:rsid w:val="00D751C3"/>
    <w:rsid w:val="00D752C0"/>
    <w:rsid w:val="00D76040"/>
    <w:rsid w:val="00D77CEB"/>
    <w:rsid w:val="00D80A84"/>
    <w:rsid w:val="00D821C3"/>
    <w:rsid w:val="00D82FEB"/>
    <w:rsid w:val="00D83B57"/>
    <w:rsid w:val="00D84E8E"/>
    <w:rsid w:val="00D860F4"/>
    <w:rsid w:val="00D92908"/>
    <w:rsid w:val="00D96DA9"/>
    <w:rsid w:val="00D96E19"/>
    <w:rsid w:val="00DA1593"/>
    <w:rsid w:val="00DA5DE6"/>
    <w:rsid w:val="00DA6025"/>
    <w:rsid w:val="00DA754D"/>
    <w:rsid w:val="00DA7701"/>
    <w:rsid w:val="00DB06DD"/>
    <w:rsid w:val="00DB1DFE"/>
    <w:rsid w:val="00DC0BD9"/>
    <w:rsid w:val="00DC3AA1"/>
    <w:rsid w:val="00DC3B30"/>
    <w:rsid w:val="00DC5F8A"/>
    <w:rsid w:val="00DE1010"/>
    <w:rsid w:val="00DE3E3F"/>
    <w:rsid w:val="00E01CEC"/>
    <w:rsid w:val="00E05F6D"/>
    <w:rsid w:val="00E1136A"/>
    <w:rsid w:val="00E1228E"/>
    <w:rsid w:val="00E1459C"/>
    <w:rsid w:val="00E2171D"/>
    <w:rsid w:val="00E25D13"/>
    <w:rsid w:val="00E2756C"/>
    <w:rsid w:val="00E27974"/>
    <w:rsid w:val="00E33B64"/>
    <w:rsid w:val="00E34C2F"/>
    <w:rsid w:val="00E41836"/>
    <w:rsid w:val="00E47ADA"/>
    <w:rsid w:val="00E61624"/>
    <w:rsid w:val="00E65961"/>
    <w:rsid w:val="00E70376"/>
    <w:rsid w:val="00E71B48"/>
    <w:rsid w:val="00E73311"/>
    <w:rsid w:val="00E73C20"/>
    <w:rsid w:val="00E76DF7"/>
    <w:rsid w:val="00E80A37"/>
    <w:rsid w:val="00E8485B"/>
    <w:rsid w:val="00E84FD4"/>
    <w:rsid w:val="00EA048D"/>
    <w:rsid w:val="00EA0B6C"/>
    <w:rsid w:val="00EA2E0B"/>
    <w:rsid w:val="00EA6796"/>
    <w:rsid w:val="00EB1532"/>
    <w:rsid w:val="00EB1A2C"/>
    <w:rsid w:val="00EB49D6"/>
    <w:rsid w:val="00EB767A"/>
    <w:rsid w:val="00EC1518"/>
    <w:rsid w:val="00EC4163"/>
    <w:rsid w:val="00EC473E"/>
    <w:rsid w:val="00EC54E3"/>
    <w:rsid w:val="00EC6267"/>
    <w:rsid w:val="00EC794D"/>
    <w:rsid w:val="00ED2504"/>
    <w:rsid w:val="00ED25D8"/>
    <w:rsid w:val="00ED284F"/>
    <w:rsid w:val="00ED57BD"/>
    <w:rsid w:val="00EE01CC"/>
    <w:rsid w:val="00EE0430"/>
    <w:rsid w:val="00EE61DF"/>
    <w:rsid w:val="00EF2D78"/>
    <w:rsid w:val="00EF3912"/>
    <w:rsid w:val="00EF7412"/>
    <w:rsid w:val="00F008E3"/>
    <w:rsid w:val="00F0170F"/>
    <w:rsid w:val="00F07AD0"/>
    <w:rsid w:val="00F117B7"/>
    <w:rsid w:val="00F12CC5"/>
    <w:rsid w:val="00F16CBE"/>
    <w:rsid w:val="00F25883"/>
    <w:rsid w:val="00F302D1"/>
    <w:rsid w:val="00F30C42"/>
    <w:rsid w:val="00F341F2"/>
    <w:rsid w:val="00F36DA6"/>
    <w:rsid w:val="00F43113"/>
    <w:rsid w:val="00F43147"/>
    <w:rsid w:val="00F43242"/>
    <w:rsid w:val="00F44E72"/>
    <w:rsid w:val="00F45079"/>
    <w:rsid w:val="00F55CA8"/>
    <w:rsid w:val="00F57086"/>
    <w:rsid w:val="00F60B92"/>
    <w:rsid w:val="00F631D3"/>
    <w:rsid w:val="00F642E7"/>
    <w:rsid w:val="00F659E8"/>
    <w:rsid w:val="00F67218"/>
    <w:rsid w:val="00F70DE9"/>
    <w:rsid w:val="00F726CB"/>
    <w:rsid w:val="00F728A0"/>
    <w:rsid w:val="00F73F94"/>
    <w:rsid w:val="00F74050"/>
    <w:rsid w:val="00F8126E"/>
    <w:rsid w:val="00F81E9A"/>
    <w:rsid w:val="00F829C2"/>
    <w:rsid w:val="00F86710"/>
    <w:rsid w:val="00F86BBE"/>
    <w:rsid w:val="00F927CC"/>
    <w:rsid w:val="00F951C2"/>
    <w:rsid w:val="00F95A18"/>
    <w:rsid w:val="00FA15C0"/>
    <w:rsid w:val="00FA2FA4"/>
    <w:rsid w:val="00FA2FF9"/>
    <w:rsid w:val="00FB0F27"/>
    <w:rsid w:val="00FB579E"/>
    <w:rsid w:val="00FB62C6"/>
    <w:rsid w:val="00FB68C1"/>
    <w:rsid w:val="00FC207C"/>
    <w:rsid w:val="00FC312B"/>
    <w:rsid w:val="00FC3AD5"/>
    <w:rsid w:val="00FC3D38"/>
    <w:rsid w:val="00FC4FCA"/>
    <w:rsid w:val="00FC70C1"/>
    <w:rsid w:val="00FC7F6B"/>
    <w:rsid w:val="00FD17FE"/>
    <w:rsid w:val="00FD660B"/>
    <w:rsid w:val="00FD7785"/>
    <w:rsid w:val="00FE0FE5"/>
    <w:rsid w:val="00FE112D"/>
    <w:rsid w:val="00FE139A"/>
    <w:rsid w:val="00FE3947"/>
    <w:rsid w:val="00FE6576"/>
    <w:rsid w:val="00FF2C66"/>
    <w:rsid w:val="00FF77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986B4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 w:type="character" w:customStyle="1" w:styleId="Nagwek1Znak">
    <w:name w:val="Nagłówek 1 Znak"/>
    <w:basedOn w:val="Domylnaczcionkaakapitu"/>
    <w:link w:val="Nagwek1"/>
    <w:uiPriority w:val="9"/>
    <w:rsid w:val="00986B49"/>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30439">
      <w:bodyDiv w:val="1"/>
      <w:marLeft w:val="0"/>
      <w:marRight w:val="0"/>
      <w:marTop w:val="0"/>
      <w:marBottom w:val="0"/>
      <w:divBdr>
        <w:top w:val="none" w:sz="0" w:space="0" w:color="auto"/>
        <w:left w:val="none" w:sz="0" w:space="0" w:color="auto"/>
        <w:bottom w:val="none" w:sz="0" w:space="0" w:color="auto"/>
        <w:right w:val="none" w:sz="0" w:space="0" w:color="auto"/>
      </w:divBdr>
    </w:div>
    <w:div w:id="285703405">
      <w:bodyDiv w:val="1"/>
      <w:marLeft w:val="0"/>
      <w:marRight w:val="0"/>
      <w:marTop w:val="0"/>
      <w:marBottom w:val="0"/>
      <w:divBdr>
        <w:top w:val="none" w:sz="0" w:space="0" w:color="auto"/>
        <w:left w:val="none" w:sz="0" w:space="0" w:color="auto"/>
        <w:bottom w:val="none" w:sz="0" w:space="0" w:color="auto"/>
        <w:right w:val="none" w:sz="0" w:space="0" w:color="auto"/>
      </w:divBdr>
    </w:div>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07065278">
      <w:bodyDiv w:val="1"/>
      <w:marLeft w:val="0"/>
      <w:marRight w:val="0"/>
      <w:marTop w:val="0"/>
      <w:marBottom w:val="0"/>
      <w:divBdr>
        <w:top w:val="none" w:sz="0" w:space="0" w:color="auto"/>
        <w:left w:val="none" w:sz="0" w:space="0" w:color="auto"/>
        <w:bottom w:val="none" w:sz="0" w:space="0" w:color="auto"/>
        <w:right w:val="none" w:sz="0" w:space="0" w:color="auto"/>
      </w:divBdr>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014069231">
      <w:bodyDiv w:val="1"/>
      <w:marLeft w:val="0"/>
      <w:marRight w:val="0"/>
      <w:marTop w:val="0"/>
      <w:marBottom w:val="0"/>
      <w:divBdr>
        <w:top w:val="none" w:sz="0" w:space="0" w:color="auto"/>
        <w:left w:val="none" w:sz="0" w:space="0" w:color="auto"/>
        <w:bottom w:val="none" w:sz="0" w:space="0" w:color="auto"/>
        <w:right w:val="none" w:sz="0" w:space="0" w:color="auto"/>
      </w:divBdr>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 w:id="211964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24</Pages>
  <Words>4216</Words>
  <Characters>25296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Hanna Zielińska</cp:lastModifiedBy>
  <cp:revision>25</cp:revision>
  <cp:lastPrinted>2018-07-04T11:06:00Z</cp:lastPrinted>
  <dcterms:created xsi:type="dcterms:W3CDTF">2024-10-08T07:20:00Z</dcterms:created>
  <dcterms:modified xsi:type="dcterms:W3CDTF">2024-10-23T05:27:00Z</dcterms:modified>
</cp:coreProperties>
</file>