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95269" w14:textId="77777777" w:rsidR="0024536F" w:rsidRDefault="00246E3F" w:rsidP="00B5306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 w:rsidRPr="006F3B0C">
        <w:rPr>
          <w:rFonts w:ascii="Arial" w:hAnsi="Arial" w:cs="Arial"/>
          <w:sz w:val="24"/>
          <w:szCs w:val="24"/>
        </w:rPr>
        <w:t xml:space="preserve">                                  </w:t>
      </w:r>
    </w:p>
    <w:p w14:paraId="2C936B65" w14:textId="0A32F18D" w:rsidR="00CB2F05" w:rsidRPr="00DC30E7" w:rsidRDefault="00CB2F05" w:rsidP="00B5306F">
      <w:pPr>
        <w:ind w:left="4956" w:firstLine="708"/>
        <w:jc w:val="right"/>
        <w:rPr>
          <w:rFonts w:ascii="Arial" w:hAnsi="Arial" w:cs="Arial"/>
          <w:sz w:val="24"/>
          <w:szCs w:val="24"/>
        </w:rPr>
      </w:pPr>
      <w:r w:rsidRPr="00951653">
        <w:rPr>
          <w:rFonts w:ascii="Arial" w:hAnsi="Arial" w:cs="Arial"/>
          <w:sz w:val="24"/>
          <w:szCs w:val="24"/>
        </w:rPr>
        <w:t xml:space="preserve">Załącznik nr </w:t>
      </w:r>
      <w:r w:rsidR="00DF7F82" w:rsidRPr="00951653">
        <w:rPr>
          <w:rFonts w:ascii="Arial" w:hAnsi="Arial" w:cs="Arial"/>
          <w:sz w:val="24"/>
          <w:szCs w:val="24"/>
        </w:rPr>
        <w:t>8</w:t>
      </w:r>
      <w:r w:rsidRPr="00951653">
        <w:rPr>
          <w:rFonts w:ascii="Arial" w:hAnsi="Arial" w:cs="Arial"/>
          <w:sz w:val="24"/>
          <w:szCs w:val="24"/>
        </w:rPr>
        <w:t xml:space="preserve"> do Regulaminu wyboru projektów</w:t>
      </w:r>
      <w:r w:rsidRPr="006F3B0C">
        <w:rPr>
          <w:rFonts w:ascii="Arial" w:hAnsi="Arial" w:cs="Arial"/>
          <w:sz w:val="24"/>
          <w:szCs w:val="24"/>
        </w:rPr>
        <w:t xml:space="preserve"> </w:t>
      </w:r>
    </w:p>
    <w:p w14:paraId="3A70888A" w14:textId="77777777" w:rsidR="0024536F" w:rsidRDefault="0024536F" w:rsidP="00B5306F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58C36CA" w14:textId="3BC76A06" w:rsidR="00CB2F05" w:rsidRPr="00DC30E7" w:rsidRDefault="00686E47" w:rsidP="00B5306F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</w:t>
      </w:r>
      <w:r w:rsidR="00CF15F9" w:rsidRPr="00CF15F9">
        <w:rPr>
          <w:rFonts w:ascii="Arial" w:hAnsi="Arial" w:cs="Arial"/>
          <w:b/>
          <w:bCs/>
          <w:color w:val="0070C0"/>
          <w:sz w:val="28"/>
          <w:szCs w:val="28"/>
        </w:rPr>
        <w:t xml:space="preserve">24 </w:t>
      </w:r>
      <w:bookmarkStart w:id="1" w:name="_Hlk179190140"/>
      <w:r w:rsidR="00CF15F9" w:rsidRPr="00CF15F9">
        <w:rPr>
          <w:rFonts w:ascii="Arial" w:hAnsi="Arial" w:cs="Arial"/>
          <w:b/>
          <w:bCs/>
          <w:color w:val="0070C0"/>
          <w:sz w:val="28"/>
          <w:szCs w:val="28"/>
        </w:rPr>
        <w:t>Usługi społeczne i zdrowotne</w:t>
      </w:r>
      <w:bookmarkEnd w:id="1"/>
      <w:r w:rsidR="00DC30E7">
        <w:rPr>
          <w:rFonts w:ascii="Arial" w:hAnsi="Arial" w:cs="Arial"/>
          <w:b/>
          <w:bCs/>
          <w:color w:val="0070C0"/>
          <w:sz w:val="28"/>
          <w:szCs w:val="28"/>
        </w:rPr>
        <w:br/>
      </w:r>
    </w:p>
    <w:p w14:paraId="5FCC9A8D" w14:textId="7CBF4AF9" w:rsidR="004445D4" w:rsidRPr="006F3B0C" w:rsidRDefault="00D710C0" w:rsidP="00B5306F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 w:rsidRPr="006F3B0C">
        <w:rPr>
          <w:rFonts w:ascii="Arial" w:hAnsi="Arial" w:cs="Arial"/>
          <w:sz w:val="24"/>
          <w:szCs w:val="24"/>
        </w:rPr>
        <w:t xml:space="preserve"> w oparciu o zapisy Wytycznych dotyczących kwalifikowalności wydatków na lata 2021-2027 </w:t>
      </w:r>
      <w:r w:rsidR="00FF2672" w:rsidRPr="006F3B0C">
        <w:rPr>
          <w:rFonts w:ascii="Arial" w:hAnsi="Arial" w:cs="Arial"/>
          <w:sz w:val="24"/>
          <w:szCs w:val="24"/>
        </w:rPr>
        <w:t xml:space="preserve">(Wytyczne) </w:t>
      </w:r>
      <w:r w:rsidR="004445D4" w:rsidRPr="006F3B0C">
        <w:rPr>
          <w:rFonts w:ascii="Arial" w:hAnsi="Arial" w:cs="Arial"/>
          <w:sz w:val="24"/>
          <w:szCs w:val="24"/>
        </w:rPr>
        <w:t xml:space="preserve">i stanowi uszczegółowienie zapisów Instrukcji wypełniania wniosku </w:t>
      </w:r>
      <w:r w:rsidR="00977F20">
        <w:rPr>
          <w:rFonts w:ascii="Arial" w:hAnsi="Arial" w:cs="Arial"/>
          <w:sz w:val="24"/>
          <w:szCs w:val="24"/>
        </w:rPr>
        <w:br/>
      </w:r>
      <w:r w:rsidR="004445D4" w:rsidRPr="006F3B0C">
        <w:rPr>
          <w:rFonts w:ascii="Arial" w:hAnsi="Arial" w:cs="Arial"/>
          <w:sz w:val="24"/>
          <w:szCs w:val="24"/>
        </w:rPr>
        <w:t>o dofinansowanie w zakresie budżetu projektu.</w:t>
      </w:r>
    </w:p>
    <w:p w14:paraId="4C658428" w14:textId="1F308EF1" w:rsidR="00813669" w:rsidRPr="006F3B0C" w:rsidRDefault="004445D4" w:rsidP="00B5306F">
      <w:pPr>
        <w:rPr>
          <w:rFonts w:ascii="Arial" w:hAnsi="Arial" w:cs="Arial"/>
          <w:sz w:val="24"/>
          <w:szCs w:val="24"/>
        </w:rPr>
      </w:pPr>
      <w:r w:rsidRPr="008A44A7">
        <w:rPr>
          <w:rFonts w:ascii="Arial" w:hAnsi="Arial" w:cs="Arial"/>
          <w:sz w:val="24"/>
          <w:szCs w:val="24"/>
        </w:rPr>
        <w:t xml:space="preserve">Dla działania </w:t>
      </w:r>
      <w:r w:rsidR="00883C94" w:rsidRPr="008A44A7">
        <w:rPr>
          <w:rFonts w:ascii="Arial" w:hAnsi="Arial" w:cs="Arial"/>
          <w:sz w:val="24"/>
          <w:szCs w:val="24"/>
        </w:rPr>
        <w:t>8.2</w:t>
      </w:r>
      <w:r w:rsidR="00A922E4">
        <w:rPr>
          <w:rFonts w:ascii="Arial" w:hAnsi="Arial" w:cs="Arial"/>
          <w:sz w:val="24"/>
          <w:szCs w:val="24"/>
        </w:rPr>
        <w:t>4</w:t>
      </w:r>
      <w:r w:rsidR="00883C94" w:rsidRPr="008A44A7">
        <w:rPr>
          <w:rFonts w:ascii="Arial" w:hAnsi="Arial" w:cs="Arial"/>
          <w:sz w:val="24"/>
          <w:szCs w:val="24"/>
        </w:rPr>
        <w:t xml:space="preserve"> </w:t>
      </w:r>
      <w:r w:rsidR="00A922E4" w:rsidRPr="00A922E4">
        <w:rPr>
          <w:rFonts w:ascii="Arial" w:hAnsi="Arial" w:cs="Arial"/>
          <w:sz w:val="24"/>
          <w:szCs w:val="24"/>
        </w:rPr>
        <w:t xml:space="preserve">Usługi społeczne i zdrowotne </w:t>
      </w:r>
      <w:r w:rsidRPr="008A44A7">
        <w:rPr>
          <w:rFonts w:ascii="Arial" w:hAnsi="Arial" w:cs="Arial"/>
          <w:sz w:val="24"/>
          <w:szCs w:val="24"/>
        </w:rPr>
        <w:t>I</w:t>
      </w:r>
      <w:r w:rsidR="00CB2F05" w:rsidRPr="008A44A7">
        <w:rPr>
          <w:rFonts w:ascii="Arial" w:hAnsi="Arial" w:cs="Arial"/>
          <w:sz w:val="24"/>
          <w:szCs w:val="24"/>
        </w:rPr>
        <w:t xml:space="preserve">nstytucja </w:t>
      </w:r>
      <w:r w:rsidRPr="008A44A7">
        <w:rPr>
          <w:rFonts w:ascii="Arial" w:hAnsi="Arial" w:cs="Arial"/>
          <w:sz w:val="24"/>
          <w:szCs w:val="24"/>
        </w:rPr>
        <w:t>Z</w:t>
      </w:r>
      <w:r w:rsidR="00CB2F05" w:rsidRPr="008A44A7">
        <w:rPr>
          <w:rFonts w:ascii="Arial" w:hAnsi="Arial" w:cs="Arial"/>
          <w:sz w:val="24"/>
          <w:szCs w:val="24"/>
        </w:rPr>
        <w:t>arządzająca (IZ)</w:t>
      </w:r>
      <w:r w:rsidRPr="008A44A7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8A44A7">
        <w:rPr>
          <w:rFonts w:ascii="Arial" w:hAnsi="Arial" w:cs="Arial"/>
          <w:sz w:val="24"/>
          <w:szCs w:val="24"/>
        </w:rPr>
        <w:t xml:space="preserve">Na </w:t>
      </w:r>
      <w:r w:rsidR="00FF2672" w:rsidRPr="008A44A7">
        <w:rPr>
          <w:rFonts w:ascii="Arial" w:hAnsi="Arial" w:cs="Arial"/>
          <w:sz w:val="24"/>
          <w:szCs w:val="24"/>
        </w:rPr>
        <w:t>Tobie</w:t>
      </w:r>
      <w:r w:rsidR="00FF2672" w:rsidRPr="006F3B0C">
        <w:rPr>
          <w:rFonts w:ascii="Arial" w:hAnsi="Arial" w:cs="Arial"/>
          <w:sz w:val="24"/>
          <w:szCs w:val="24"/>
        </w:rPr>
        <w:t xml:space="preserve"> jako wnioskodawcy</w:t>
      </w:r>
      <w:r w:rsidRPr="006F3B0C">
        <w:rPr>
          <w:rFonts w:ascii="Arial" w:hAnsi="Arial" w:cs="Arial"/>
          <w:sz w:val="24"/>
          <w:szCs w:val="24"/>
        </w:rPr>
        <w:t xml:space="preserve"> </w:t>
      </w:r>
      <w:r w:rsidR="00813669" w:rsidRPr="006F3B0C">
        <w:rPr>
          <w:rFonts w:ascii="Arial" w:hAnsi="Arial" w:cs="Arial"/>
          <w:sz w:val="24"/>
          <w:szCs w:val="24"/>
        </w:rPr>
        <w:t>spoczywa odpowiedzialność za racjonalność i efektywność ponoszonych wydatków. Projekty powinny finansować usługi o standardzie zbliżonym do usług powszechnie dostępnych, komercyjnych. Nie jest zasadne finansowanie działań zawyżających standard i wykraczający</w:t>
      </w:r>
      <w:r w:rsidR="00220EB5">
        <w:rPr>
          <w:rFonts w:ascii="Arial" w:hAnsi="Arial" w:cs="Arial"/>
          <w:sz w:val="24"/>
          <w:szCs w:val="24"/>
        </w:rPr>
        <w:t>ch</w:t>
      </w:r>
      <w:r w:rsidR="00813669" w:rsidRPr="006F3B0C">
        <w:rPr>
          <w:rFonts w:ascii="Arial" w:hAnsi="Arial" w:cs="Arial"/>
          <w:sz w:val="24"/>
          <w:szCs w:val="24"/>
        </w:rPr>
        <w:t xml:space="preserve"> poza stawki rynkowe. </w:t>
      </w:r>
      <w:r w:rsidR="0058435E">
        <w:rPr>
          <w:rFonts w:ascii="Arial" w:hAnsi="Arial" w:cs="Arial"/>
          <w:sz w:val="24"/>
          <w:szCs w:val="24"/>
        </w:rPr>
        <w:t xml:space="preserve"> </w:t>
      </w:r>
    </w:p>
    <w:p w14:paraId="48B8CB22" w14:textId="54518409" w:rsidR="00813669" w:rsidRPr="006F3B0C" w:rsidRDefault="00813669" w:rsidP="00B5306F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IZ zastrzega, że Komisja Oceny Projektów </w:t>
      </w:r>
      <w:r w:rsidR="00CB2F05" w:rsidRPr="006F3B0C">
        <w:rPr>
          <w:rFonts w:ascii="Arial" w:hAnsi="Arial" w:cs="Arial"/>
          <w:sz w:val="24"/>
          <w:szCs w:val="24"/>
        </w:rPr>
        <w:t xml:space="preserve">(KOP) </w:t>
      </w:r>
      <w:r w:rsidRPr="006F3B0C">
        <w:rPr>
          <w:rFonts w:ascii="Arial" w:hAnsi="Arial" w:cs="Arial"/>
          <w:sz w:val="24"/>
          <w:szCs w:val="24"/>
        </w:rPr>
        <w:t xml:space="preserve">może dokonać analizy kosztów założonych we wniosku o dofinansowanie </w:t>
      </w:r>
      <w:r w:rsidR="00977F20">
        <w:rPr>
          <w:rFonts w:ascii="Arial" w:hAnsi="Arial" w:cs="Arial"/>
          <w:sz w:val="24"/>
          <w:szCs w:val="24"/>
        </w:rPr>
        <w:br/>
      </w:r>
      <w:r w:rsidRPr="006F3B0C">
        <w:rPr>
          <w:rFonts w:ascii="Arial" w:hAnsi="Arial" w:cs="Arial"/>
          <w:sz w:val="24"/>
          <w:szCs w:val="24"/>
        </w:rPr>
        <w:t xml:space="preserve">w odniesieniu do analogicznych kosztów w pozostałych wnioskach złożonych w odpowiedzi na nabór tak, aby wydatki </w:t>
      </w:r>
      <w:r w:rsidR="00977F20">
        <w:rPr>
          <w:rFonts w:ascii="Arial" w:hAnsi="Arial" w:cs="Arial"/>
          <w:sz w:val="24"/>
          <w:szCs w:val="24"/>
        </w:rPr>
        <w:br/>
      </w:r>
      <w:r w:rsidRPr="006F3B0C">
        <w:rPr>
          <w:rFonts w:ascii="Arial" w:hAnsi="Arial" w:cs="Arial"/>
          <w:sz w:val="24"/>
          <w:szCs w:val="24"/>
        </w:rPr>
        <w:t>w zatwierdzonych do dofinansowania wnioskach były wystandaryzowane.</w:t>
      </w:r>
    </w:p>
    <w:p w14:paraId="1903A4D2" w14:textId="4AC8957E" w:rsidR="004445D4" w:rsidRPr="006F3B0C" w:rsidRDefault="00634D4E" w:rsidP="00B5306F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Na </w:t>
      </w:r>
      <w:r w:rsidR="00FF2672" w:rsidRPr="006F3B0C">
        <w:rPr>
          <w:rFonts w:ascii="Arial" w:hAnsi="Arial" w:cs="Arial"/>
          <w:sz w:val="24"/>
          <w:szCs w:val="24"/>
        </w:rPr>
        <w:t xml:space="preserve">Tobie jako wnioskodawcy </w:t>
      </w:r>
      <w:r w:rsidR="00813669" w:rsidRPr="006F3B0C">
        <w:rPr>
          <w:rFonts w:ascii="Arial" w:hAnsi="Arial" w:cs="Arial"/>
          <w:sz w:val="24"/>
          <w:szCs w:val="24"/>
        </w:rPr>
        <w:t xml:space="preserve">spoczywa </w:t>
      </w:r>
      <w:r w:rsidRPr="006F3B0C">
        <w:rPr>
          <w:rFonts w:ascii="Arial" w:hAnsi="Arial" w:cs="Arial"/>
          <w:sz w:val="24"/>
          <w:szCs w:val="24"/>
        </w:rPr>
        <w:t xml:space="preserve">również </w:t>
      </w:r>
      <w:r w:rsidR="00813669" w:rsidRPr="006F3B0C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F3B0C">
        <w:rPr>
          <w:rFonts w:ascii="Arial" w:hAnsi="Arial" w:cs="Arial"/>
          <w:sz w:val="24"/>
          <w:szCs w:val="24"/>
        </w:rPr>
        <w:t xml:space="preserve">. </w:t>
      </w:r>
      <w:r w:rsidR="00813669" w:rsidRPr="006F3B0C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 w:rsidRPr="006F3B0C">
        <w:rPr>
          <w:rFonts w:ascii="Arial" w:hAnsi="Arial" w:cs="Arial"/>
          <w:sz w:val="24"/>
          <w:szCs w:val="24"/>
        </w:rPr>
        <w:t xml:space="preserve">eś </w:t>
      </w:r>
      <w:r w:rsidR="00813669" w:rsidRPr="006F3B0C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F3B0C">
        <w:rPr>
          <w:rFonts w:ascii="Arial" w:hAnsi="Arial" w:cs="Arial"/>
          <w:sz w:val="24"/>
          <w:szCs w:val="24"/>
        </w:rPr>
        <w:t xml:space="preserve">poprzez opis </w:t>
      </w:r>
      <w:r w:rsidR="00813669" w:rsidRPr="006F3B0C">
        <w:rPr>
          <w:rFonts w:ascii="Arial" w:hAnsi="Arial" w:cs="Arial"/>
          <w:sz w:val="24"/>
          <w:szCs w:val="24"/>
        </w:rPr>
        <w:t>wymagań dotyczących wykonawcy/personelu</w:t>
      </w:r>
      <w:r w:rsidRPr="006F3B0C">
        <w:rPr>
          <w:rFonts w:ascii="Arial" w:hAnsi="Arial" w:cs="Arial"/>
          <w:sz w:val="24"/>
          <w:szCs w:val="24"/>
        </w:rPr>
        <w:t xml:space="preserve"> czy</w:t>
      </w:r>
      <w:r w:rsidR="00813669" w:rsidRPr="006F3B0C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Pr="006F3B0C" w:rsidRDefault="00FF2672" w:rsidP="00B5306F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lastRenderedPageBreak/>
        <w:t>Pamiętaj, że zgodnie z Wytycznymi – w przypadku zatrudniania personelu w projekcie - jesteś zobowiązany do wskazania we wniosku o dofinansowanie informacji dotyczących:</w:t>
      </w:r>
    </w:p>
    <w:p w14:paraId="3878E804" w14:textId="429FDA1A" w:rsidR="008531CF" w:rsidRPr="006F3B0C" w:rsidRDefault="00FF2672" w:rsidP="00B5306F">
      <w:pPr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a) form</w:t>
      </w:r>
      <w:r w:rsidR="008531CF" w:rsidRPr="006F3B0C">
        <w:rPr>
          <w:rFonts w:ascii="Arial" w:hAnsi="Arial" w:cs="Arial"/>
          <w:sz w:val="24"/>
          <w:szCs w:val="24"/>
        </w:rPr>
        <w:t xml:space="preserve">y </w:t>
      </w:r>
      <w:r w:rsidRPr="006F3B0C">
        <w:rPr>
          <w:rFonts w:ascii="Arial" w:hAnsi="Arial" w:cs="Arial"/>
          <w:sz w:val="24"/>
          <w:szCs w:val="24"/>
        </w:rPr>
        <w:t>zaangażowania i szacunkow</w:t>
      </w:r>
      <w:r w:rsidR="003260BE" w:rsidRPr="006F3B0C">
        <w:rPr>
          <w:rFonts w:ascii="Arial" w:hAnsi="Arial" w:cs="Arial"/>
          <w:sz w:val="24"/>
          <w:szCs w:val="24"/>
        </w:rPr>
        <w:t>ego</w:t>
      </w:r>
      <w:r w:rsidRPr="006F3B0C">
        <w:rPr>
          <w:rFonts w:ascii="Arial" w:hAnsi="Arial" w:cs="Arial"/>
          <w:sz w:val="24"/>
          <w:szCs w:val="24"/>
        </w:rPr>
        <w:t xml:space="preserve"> wymiar</w:t>
      </w:r>
      <w:r w:rsidR="00A3605E" w:rsidRPr="006F3B0C">
        <w:rPr>
          <w:rFonts w:ascii="Arial" w:hAnsi="Arial" w:cs="Arial"/>
          <w:sz w:val="24"/>
          <w:szCs w:val="24"/>
        </w:rPr>
        <w:t>u</w:t>
      </w:r>
      <w:r w:rsidRPr="006F3B0C">
        <w:rPr>
          <w:rFonts w:ascii="Arial" w:hAnsi="Arial" w:cs="Arial"/>
          <w:sz w:val="24"/>
          <w:szCs w:val="24"/>
        </w:rPr>
        <w:t xml:space="preserve"> czasu pracy personelu projektu niezbędnego do realizacji zadań merytorycznych (etat/liczba godzin), </w:t>
      </w:r>
    </w:p>
    <w:p w14:paraId="12CA089B" w14:textId="56433FE9" w:rsidR="00FF2672" w:rsidRPr="006F3B0C" w:rsidRDefault="00FF2672" w:rsidP="00B5306F">
      <w:pPr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b) uzasadnieni</w:t>
      </w:r>
      <w:r w:rsidR="008531CF" w:rsidRPr="006F3B0C">
        <w:rPr>
          <w:rFonts w:ascii="Arial" w:hAnsi="Arial" w:cs="Arial"/>
          <w:sz w:val="24"/>
          <w:szCs w:val="24"/>
        </w:rPr>
        <w:t>a</w:t>
      </w:r>
      <w:r w:rsidRPr="006F3B0C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 w:rsidRPr="006F3B0C">
        <w:rPr>
          <w:rFonts w:ascii="Arial" w:hAnsi="Arial" w:cs="Arial"/>
          <w:sz w:val="24"/>
          <w:szCs w:val="24"/>
        </w:rPr>
        <w:t>go</w:t>
      </w:r>
      <w:r w:rsidRPr="006F3B0C">
        <w:rPr>
          <w:rFonts w:ascii="Arial" w:hAnsi="Arial" w:cs="Arial"/>
          <w:sz w:val="24"/>
          <w:szCs w:val="24"/>
        </w:rPr>
        <w:t xml:space="preserve"> się do zwyczajowej praktyki </w:t>
      </w:r>
      <w:r w:rsidR="008531CF" w:rsidRPr="006F3B0C">
        <w:rPr>
          <w:rFonts w:ascii="Arial" w:hAnsi="Arial" w:cs="Arial"/>
          <w:sz w:val="24"/>
          <w:szCs w:val="24"/>
        </w:rPr>
        <w:t>Twojego podmiotu</w:t>
      </w:r>
      <w:r w:rsidRPr="006F3B0C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 w:rsidRPr="006F3B0C">
        <w:rPr>
          <w:rFonts w:ascii="Arial" w:hAnsi="Arial" w:cs="Arial"/>
          <w:sz w:val="24"/>
          <w:szCs w:val="24"/>
        </w:rPr>
        <w:t>. S</w:t>
      </w:r>
      <w:r w:rsidRPr="006F3B0C">
        <w:rPr>
          <w:rFonts w:ascii="Arial" w:hAnsi="Arial" w:cs="Arial"/>
          <w:sz w:val="24"/>
          <w:szCs w:val="24"/>
        </w:rPr>
        <w:t xml:space="preserve">tanowi </w:t>
      </w:r>
      <w:r w:rsidR="008531CF" w:rsidRPr="006F3B0C">
        <w:rPr>
          <w:rFonts w:ascii="Arial" w:hAnsi="Arial" w:cs="Arial"/>
          <w:sz w:val="24"/>
          <w:szCs w:val="24"/>
        </w:rPr>
        <w:t xml:space="preserve">to </w:t>
      </w:r>
      <w:r w:rsidRPr="006F3B0C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 w:rsidRPr="006F3B0C">
        <w:rPr>
          <w:rFonts w:ascii="Arial" w:hAnsi="Arial" w:cs="Arial"/>
          <w:sz w:val="24"/>
          <w:szCs w:val="24"/>
        </w:rPr>
        <w:t xml:space="preserve">zarówno </w:t>
      </w:r>
      <w:r w:rsidRPr="006F3B0C">
        <w:rPr>
          <w:rFonts w:ascii="Arial" w:hAnsi="Arial" w:cs="Arial"/>
          <w:sz w:val="24"/>
          <w:szCs w:val="24"/>
        </w:rPr>
        <w:t>na etapie wyboru projektu</w:t>
      </w:r>
      <w:r w:rsidR="008531CF" w:rsidRPr="006F3B0C">
        <w:rPr>
          <w:rFonts w:ascii="Arial" w:hAnsi="Arial" w:cs="Arial"/>
          <w:sz w:val="24"/>
          <w:szCs w:val="24"/>
        </w:rPr>
        <w:t xml:space="preserve">, jak </w:t>
      </w:r>
      <w:r w:rsidR="00977F20">
        <w:rPr>
          <w:rFonts w:ascii="Arial" w:hAnsi="Arial" w:cs="Arial"/>
          <w:sz w:val="24"/>
          <w:szCs w:val="24"/>
        </w:rPr>
        <w:br/>
      </w:r>
      <w:r w:rsidR="008531CF" w:rsidRPr="006F3B0C">
        <w:rPr>
          <w:rFonts w:ascii="Arial" w:hAnsi="Arial" w:cs="Arial"/>
          <w:sz w:val="24"/>
          <w:szCs w:val="24"/>
        </w:rPr>
        <w:t xml:space="preserve">i </w:t>
      </w:r>
      <w:r w:rsidRPr="006F3B0C">
        <w:rPr>
          <w:rFonts w:ascii="Arial" w:hAnsi="Arial" w:cs="Arial"/>
          <w:sz w:val="24"/>
          <w:szCs w:val="24"/>
        </w:rPr>
        <w:t>w trakcie jego realizacji.</w:t>
      </w:r>
    </w:p>
    <w:p w14:paraId="0BCA2E80" w14:textId="634AC991" w:rsidR="00982CC8" w:rsidRPr="006F3B0C" w:rsidRDefault="00D710C0" w:rsidP="00B5306F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W związku z tym, że budżet w </w:t>
      </w:r>
      <w:r w:rsidR="004445D4" w:rsidRPr="006F3B0C">
        <w:rPr>
          <w:rFonts w:ascii="Arial" w:hAnsi="Arial" w:cs="Arial"/>
          <w:sz w:val="24"/>
          <w:szCs w:val="24"/>
        </w:rPr>
        <w:t>aplikacji</w:t>
      </w:r>
      <w:r w:rsidRPr="006F3B0C">
        <w:rPr>
          <w:rFonts w:ascii="Arial" w:hAnsi="Arial" w:cs="Arial"/>
          <w:sz w:val="24"/>
          <w:szCs w:val="24"/>
        </w:rPr>
        <w:t xml:space="preserve"> SOWA EFS </w:t>
      </w:r>
      <w:r w:rsidR="004445D4" w:rsidRPr="006F3B0C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 w:rsidRPr="006F3B0C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 w:rsidRPr="006F3B0C">
        <w:rPr>
          <w:rFonts w:ascii="Arial" w:hAnsi="Arial" w:cs="Arial"/>
          <w:sz w:val="24"/>
          <w:szCs w:val="24"/>
        </w:rPr>
        <w:t>konieczn</w:t>
      </w:r>
      <w:r w:rsidR="008531CF" w:rsidRPr="006F3B0C">
        <w:rPr>
          <w:rFonts w:ascii="Arial" w:hAnsi="Arial" w:cs="Arial"/>
          <w:sz w:val="24"/>
          <w:szCs w:val="24"/>
        </w:rPr>
        <w:t>ie wskaż</w:t>
      </w:r>
      <w:r w:rsidR="004445D4" w:rsidRPr="006F3B0C">
        <w:rPr>
          <w:rFonts w:ascii="Arial" w:hAnsi="Arial" w:cs="Arial"/>
          <w:sz w:val="24"/>
          <w:szCs w:val="24"/>
        </w:rPr>
        <w:t xml:space="preserve"> </w:t>
      </w:r>
      <w:r w:rsidR="008E2696" w:rsidRPr="006F3B0C">
        <w:rPr>
          <w:rFonts w:ascii="Arial" w:hAnsi="Arial" w:cs="Arial"/>
          <w:sz w:val="24"/>
          <w:szCs w:val="24"/>
        </w:rPr>
        <w:t xml:space="preserve">w uzasadnieniu </w:t>
      </w:r>
      <w:r w:rsidR="00E65565" w:rsidRPr="006F3B0C">
        <w:rPr>
          <w:rFonts w:ascii="Arial" w:hAnsi="Arial" w:cs="Arial"/>
          <w:sz w:val="24"/>
          <w:szCs w:val="24"/>
        </w:rPr>
        <w:t>sposób</w:t>
      </w:r>
      <w:r w:rsidR="008E2696" w:rsidRPr="006F3B0C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 w:rsidRPr="006F3B0C">
        <w:rPr>
          <w:rFonts w:ascii="Arial" w:hAnsi="Arial" w:cs="Arial"/>
          <w:sz w:val="24"/>
          <w:szCs w:val="24"/>
        </w:rPr>
        <w:t>y</w:t>
      </w:r>
      <w:r w:rsidR="008E2696" w:rsidRPr="006F3B0C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 w:rsidRPr="006F3B0C">
        <w:rPr>
          <w:rFonts w:ascii="Arial" w:hAnsi="Arial" w:cs="Arial"/>
          <w:sz w:val="24"/>
          <w:szCs w:val="24"/>
        </w:rPr>
        <w:t>/ilości sztuk/zestawów</w:t>
      </w:r>
      <w:r w:rsidR="008E2696" w:rsidRPr="006F3B0C">
        <w:rPr>
          <w:rFonts w:ascii="Arial" w:hAnsi="Arial" w:cs="Arial"/>
          <w:sz w:val="24"/>
          <w:szCs w:val="24"/>
        </w:rPr>
        <w:t xml:space="preserve"> danego wydatku i jego cenę jednostkową.</w:t>
      </w:r>
      <w:r w:rsidR="00982CC8" w:rsidRPr="006F3B0C">
        <w:rPr>
          <w:rFonts w:ascii="Arial" w:hAnsi="Arial" w:cs="Arial"/>
          <w:sz w:val="24"/>
          <w:szCs w:val="24"/>
        </w:rPr>
        <w:br/>
      </w:r>
      <w:r w:rsidR="00982CC8" w:rsidRPr="006F3B0C">
        <w:rPr>
          <w:rFonts w:ascii="Arial" w:hAnsi="Arial" w:cs="Arial"/>
          <w:sz w:val="24"/>
          <w:szCs w:val="24"/>
        </w:rPr>
        <w:br/>
      </w:r>
      <w:bookmarkStart w:id="2" w:name="_Hlk139621407"/>
      <w:r w:rsidR="00982CC8" w:rsidRPr="006F3B0C">
        <w:rPr>
          <w:rFonts w:ascii="Arial" w:hAnsi="Arial" w:cs="Arial"/>
          <w:sz w:val="24"/>
          <w:szCs w:val="24"/>
        </w:rPr>
        <w:t>Limit znaków możliwych do wpisania w polu uzasadnienie wynosi</w:t>
      </w:r>
      <w:r w:rsidR="00C065E9">
        <w:rPr>
          <w:rFonts w:ascii="Arial" w:hAnsi="Arial" w:cs="Arial"/>
          <w:sz w:val="24"/>
          <w:szCs w:val="24"/>
        </w:rPr>
        <w:t xml:space="preserve"> </w:t>
      </w:r>
      <w:r w:rsidR="00B11DF0">
        <w:rPr>
          <w:rFonts w:ascii="Arial" w:hAnsi="Arial" w:cs="Arial"/>
          <w:sz w:val="24"/>
          <w:szCs w:val="24"/>
        </w:rPr>
        <w:t>4 000</w:t>
      </w:r>
      <w:r w:rsidR="00982CC8" w:rsidRPr="006F3B0C">
        <w:rPr>
          <w:rFonts w:ascii="Arial" w:hAnsi="Arial" w:cs="Arial"/>
          <w:sz w:val="24"/>
          <w:szCs w:val="24"/>
        </w:rPr>
        <w:t xml:space="preserve">, dlatego powinieneś wskazać wyłącznie najważniejsze, wymagane przez IZ informacje. Pamiętaj, że liczba dodanych uzasadnień nie może przekraczać liczby pozycji w budżecie projektu. Planując budżet projektu musisz wziąć pod uwagę powyższe ograniczenia. </w:t>
      </w:r>
    </w:p>
    <w:p w14:paraId="1D130E01" w14:textId="7DA5728E" w:rsidR="00C577B2" w:rsidRDefault="00982CC8" w:rsidP="00B5306F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Dodatkowo, w celu zwiększenia czytelności uzasadnień do </w:t>
      </w:r>
      <w:r w:rsidR="00D761EB" w:rsidRPr="006F3B0C">
        <w:rPr>
          <w:rFonts w:ascii="Arial" w:hAnsi="Arial" w:cs="Arial"/>
          <w:sz w:val="24"/>
          <w:szCs w:val="24"/>
        </w:rPr>
        <w:t>pozycji budżetowych</w:t>
      </w:r>
      <w:r w:rsidR="00E0025C" w:rsidRPr="006F3B0C">
        <w:rPr>
          <w:rFonts w:ascii="Arial" w:hAnsi="Arial" w:cs="Arial"/>
          <w:sz w:val="24"/>
          <w:szCs w:val="24"/>
        </w:rPr>
        <w:t>,</w:t>
      </w:r>
      <w:r w:rsidRPr="006F3B0C">
        <w:rPr>
          <w:rFonts w:ascii="Arial" w:hAnsi="Arial" w:cs="Arial"/>
          <w:sz w:val="24"/>
          <w:szCs w:val="24"/>
        </w:rPr>
        <w:t xml:space="preserve"> w polu </w:t>
      </w:r>
      <w:r w:rsidR="00E0025C" w:rsidRPr="006F3B0C">
        <w:rPr>
          <w:rFonts w:ascii="Arial" w:hAnsi="Arial" w:cs="Arial"/>
          <w:sz w:val="24"/>
          <w:szCs w:val="24"/>
        </w:rPr>
        <w:t xml:space="preserve">dotyczącym liczby porządkowej, </w:t>
      </w:r>
      <w:r w:rsidRPr="006F3B0C">
        <w:rPr>
          <w:rFonts w:ascii="Arial" w:hAnsi="Arial" w:cs="Arial"/>
          <w:sz w:val="24"/>
          <w:szCs w:val="24"/>
        </w:rPr>
        <w:t xml:space="preserve">wskaż numer zadania i pozycji budżetowej, której dotyczy dane uzasadnienie np. </w:t>
      </w:r>
      <w:r w:rsidR="00E0025C" w:rsidRPr="006F3B0C">
        <w:rPr>
          <w:rFonts w:ascii="Arial" w:hAnsi="Arial" w:cs="Arial"/>
          <w:sz w:val="24"/>
          <w:szCs w:val="24"/>
        </w:rPr>
        <w:t>z</w:t>
      </w:r>
      <w:r w:rsidRPr="006F3B0C">
        <w:rPr>
          <w:rFonts w:ascii="Arial" w:hAnsi="Arial" w:cs="Arial"/>
          <w:sz w:val="24"/>
          <w:szCs w:val="24"/>
        </w:rPr>
        <w:t>adanie nr 1, pozycja nr 1</w:t>
      </w:r>
      <w:r w:rsidR="00D761EB" w:rsidRPr="006F3B0C">
        <w:rPr>
          <w:rFonts w:ascii="Arial" w:hAnsi="Arial" w:cs="Arial"/>
          <w:sz w:val="24"/>
          <w:szCs w:val="24"/>
        </w:rPr>
        <w:t xml:space="preserve"> lub </w:t>
      </w:r>
      <w:r w:rsidR="00E0025C" w:rsidRPr="006F3B0C">
        <w:rPr>
          <w:rFonts w:ascii="Arial" w:hAnsi="Arial" w:cs="Arial"/>
          <w:sz w:val="24"/>
          <w:szCs w:val="24"/>
        </w:rPr>
        <w:t>1.1.</w:t>
      </w:r>
      <w:r w:rsidRPr="006F3B0C">
        <w:rPr>
          <w:rFonts w:ascii="Arial" w:hAnsi="Arial" w:cs="Arial"/>
          <w:sz w:val="24"/>
          <w:szCs w:val="24"/>
        </w:rPr>
        <w:t xml:space="preserve"> (aplikacja SOWA EFS nadaje uzasadnieniom do budżetu numery porządkowe i nie uwzględnia podziału uzasadnień na poszczególne zadania</w:t>
      </w:r>
      <w:bookmarkEnd w:id="2"/>
      <w:r w:rsidRPr="006F3B0C">
        <w:rPr>
          <w:rFonts w:ascii="Arial" w:hAnsi="Arial" w:cs="Arial"/>
          <w:sz w:val="24"/>
          <w:szCs w:val="24"/>
        </w:rPr>
        <w:t xml:space="preserve">).  </w:t>
      </w:r>
    </w:p>
    <w:p w14:paraId="4A2C2299" w14:textId="77777777" w:rsidR="000B7C6E" w:rsidRDefault="000B7C6E" w:rsidP="00B5306F">
      <w:pPr>
        <w:rPr>
          <w:rFonts w:ascii="Arial" w:hAnsi="Arial" w:cs="Arial"/>
          <w:sz w:val="24"/>
          <w:szCs w:val="24"/>
        </w:rPr>
      </w:pPr>
    </w:p>
    <w:p w14:paraId="750B2D8D" w14:textId="77777777" w:rsidR="000B7C6E" w:rsidRDefault="000B7C6E" w:rsidP="00B5306F">
      <w:pPr>
        <w:rPr>
          <w:rFonts w:ascii="Arial" w:hAnsi="Arial" w:cs="Arial"/>
          <w:sz w:val="24"/>
          <w:szCs w:val="24"/>
        </w:rPr>
      </w:pPr>
    </w:p>
    <w:p w14:paraId="40545A2D" w14:textId="77777777" w:rsidR="000B7C6E" w:rsidRDefault="000B7C6E" w:rsidP="00B5306F">
      <w:pPr>
        <w:rPr>
          <w:rFonts w:ascii="Arial" w:hAnsi="Arial" w:cs="Arial"/>
          <w:sz w:val="24"/>
          <w:szCs w:val="24"/>
        </w:rPr>
      </w:pPr>
    </w:p>
    <w:p w14:paraId="46F0964F" w14:textId="77777777" w:rsidR="000B7C6E" w:rsidRDefault="000B7C6E" w:rsidP="00B5306F">
      <w:pPr>
        <w:rPr>
          <w:rFonts w:ascii="Arial" w:hAnsi="Arial" w:cs="Arial"/>
          <w:sz w:val="24"/>
          <w:szCs w:val="24"/>
        </w:rPr>
      </w:pPr>
    </w:p>
    <w:p w14:paraId="5A756370" w14:textId="77777777" w:rsidR="000B7C6E" w:rsidRDefault="000B7C6E" w:rsidP="00B5306F">
      <w:pPr>
        <w:rPr>
          <w:rFonts w:ascii="Arial" w:hAnsi="Arial" w:cs="Arial"/>
          <w:sz w:val="24"/>
          <w:szCs w:val="24"/>
        </w:rPr>
      </w:pPr>
    </w:p>
    <w:p w14:paraId="1C7F426A" w14:textId="57107B9F" w:rsidR="008E2696" w:rsidRDefault="008E2696" w:rsidP="00B5306F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lastRenderedPageBreak/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69"/>
        <w:gridCol w:w="4117"/>
        <w:gridCol w:w="3506"/>
      </w:tblGrid>
      <w:tr w:rsidR="0058435E" w:rsidRPr="006F3B0C" w14:paraId="5C4C860F" w14:textId="77777777" w:rsidTr="00255AC3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4B357168" w14:textId="4608B5BC" w:rsidR="0058435E" w:rsidRPr="006F3B0C" w:rsidRDefault="0058435E" w:rsidP="00B5306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  <w:r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58435E" w:rsidRPr="006F3B0C" w14:paraId="4F76E5DF" w14:textId="77777777" w:rsidTr="00255AC3">
        <w:trPr>
          <w:trHeight w:val="781"/>
        </w:trPr>
        <w:tc>
          <w:tcPr>
            <w:tcW w:w="6369" w:type="dxa"/>
            <w:shd w:val="clear" w:color="auto" w:fill="F2F2F2" w:themeFill="background1" w:themeFillShade="F2"/>
          </w:tcPr>
          <w:p w14:paraId="7EBFE123" w14:textId="4B1211D4" w:rsidR="0058435E" w:rsidRPr="006F3B0C" w:rsidRDefault="0058435E" w:rsidP="00B5306F">
            <w:pPr>
              <w:rPr>
                <w:rFonts w:ascii="Arial" w:hAnsi="Arial" w:cs="Arial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  <w:t xml:space="preserve">Zadanie 1. </w:t>
            </w:r>
            <w:r w:rsidR="00E73CB6">
              <w:rPr>
                <w:rFonts w:ascii="Arial" w:hAnsi="Arial" w:cs="Arial"/>
                <w:sz w:val="24"/>
                <w:szCs w:val="24"/>
              </w:rPr>
              <w:t>Utworzenie i f</w:t>
            </w:r>
            <w:r w:rsidR="003F3D9C">
              <w:rPr>
                <w:rFonts w:ascii="Arial" w:hAnsi="Arial" w:cs="Arial"/>
                <w:sz w:val="24"/>
                <w:szCs w:val="24"/>
              </w:rPr>
              <w:t xml:space="preserve">unkcjonowanie </w:t>
            </w:r>
            <w:r w:rsidRPr="006F3B0C">
              <w:rPr>
                <w:rFonts w:ascii="Arial" w:hAnsi="Arial" w:cs="Arial"/>
                <w:sz w:val="24"/>
                <w:szCs w:val="24"/>
              </w:rPr>
              <w:t>Dzienn</w:t>
            </w:r>
            <w:r w:rsidR="003F3D9C">
              <w:rPr>
                <w:rFonts w:ascii="Arial" w:hAnsi="Arial" w:cs="Arial"/>
                <w:sz w:val="24"/>
                <w:szCs w:val="24"/>
              </w:rPr>
              <w:t>ego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3F3D9C">
              <w:rPr>
                <w:rFonts w:ascii="Arial" w:hAnsi="Arial" w:cs="Arial"/>
                <w:sz w:val="24"/>
                <w:szCs w:val="24"/>
              </w:rPr>
              <w:t>u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Pomocy</w:t>
            </w:r>
          </w:p>
        </w:tc>
        <w:tc>
          <w:tcPr>
            <w:tcW w:w="4117" w:type="dxa"/>
            <w:shd w:val="clear" w:color="auto" w:fill="F2F2F2" w:themeFill="background1" w:themeFillShade="F2"/>
          </w:tcPr>
          <w:p w14:paraId="222CE6F0" w14:textId="64CA06A1" w:rsidR="0058435E" w:rsidRPr="006F3B0C" w:rsidRDefault="0058435E" w:rsidP="00B5306F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079F9">
              <w:rPr>
                <w:rFonts w:ascii="Arial" w:hAnsi="Arial" w:cs="Arial"/>
                <w:sz w:val="24"/>
                <w:szCs w:val="24"/>
              </w:rPr>
              <w:t>1 0</w:t>
            </w:r>
            <w:r w:rsidR="00FE1359">
              <w:rPr>
                <w:rFonts w:ascii="Arial" w:hAnsi="Arial" w:cs="Arial"/>
                <w:sz w:val="24"/>
                <w:szCs w:val="24"/>
              </w:rPr>
              <w:t>23</w:t>
            </w:r>
            <w:r w:rsidRPr="006F3B0C">
              <w:rPr>
                <w:rFonts w:ascii="Arial" w:hAnsi="Arial" w:cs="Arial"/>
                <w:sz w:val="24"/>
                <w:szCs w:val="24"/>
              </w:rPr>
              <w:t> </w:t>
            </w:r>
            <w:r w:rsidR="00FE1359">
              <w:rPr>
                <w:rFonts w:ascii="Arial" w:hAnsi="Arial" w:cs="Arial"/>
                <w:sz w:val="24"/>
                <w:szCs w:val="24"/>
              </w:rPr>
              <w:t>744</w:t>
            </w:r>
            <w:r w:rsidRPr="006F3B0C">
              <w:rPr>
                <w:rFonts w:ascii="Arial" w:hAnsi="Arial" w:cs="Arial"/>
                <w:sz w:val="24"/>
                <w:szCs w:val="24"/>
              </w:rPr>
              <w:t>,</w:t>
            </w:r>
            <w:r w:rsidR="00FE1359">
              <w:rPr>
                <w:rFonts w:ascii="Arial" w:hAnsi="Arial" w:cs="Arial"/>
                <w:sz w:val="24"/>
                <w:szCs w:val="24"/>
              </w:rPr>
              <w:t>96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3506" w:type="dxa"/>
            <w:shd w:val="clear" w:color="auto" w:fill="F2F2F2" w:themeFill="background1" w:themeFillShade="F2"/>
          </w:tcPr>
          <w:p w14:paraId="2FA45C55" w14:textId="5735A02C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81288">
              <w:rPr>
                <w:rFonts w:ascii="Arial" w:hAnsi="Arial" w:cs="Arial"/>
                <w:sz w:val="24"/>
                <w:szCs w:val="24"/>
              </w:rPr>
              <w:t>9</w:t>
            </w:r>
            <w:r w:rsidR="00FE1359">
              <w:rPr>
                <w:rFonts w:ascii="Arial" w:hAnsi="Arial" w:cs="Arial"/>
                <w:sz w:val="24"/>
                <w:szCs w:val="24"/>
              </w:rPr>
              <w:t>70</w:t>
            </w:r>
            <w:r w:rsidRPr="006F3B0C">
              <w:rPr>
                <w:rFonts w:ascii="Arial" w:hAnsi="Arial" w:cs="Arial"/>
                <w:sz w:val="24"/>
                <w:szCs w:val="24"/>
              </w:rPr>
              <w:t> </w:t>
            </w:r>
            <w:r w:rsidR="00FE1359">
              <w:rPr>
                <w:rFonts w:ascii="Arial" w:hAnsi="Arial" w:cs="Arial"/>
                <w:sz w:val="24"/>
                <w:szCs w:val="24"/>
              </w:rPr>
              <w:t>144</w:t>
            </w:r>
            <w:r w:rsidRPr="006F3B0C">
              <w:rPr>
                <w:rFonts w:ascii="Arial" w:hAnsi="Arial" w:cs="Arial"/>
                <w:sz w:val="24"/>
                <w:szCs w:val="24"/>
              </w:rPr>
              <w:t>,</w:t>
            </w:r>
            <w:r w:rsidR="00FE1359">
              <w:rPr>
                <w:rFonts w:ascii="Arial" w:hAnsi="Arial" w:cs="Arial"/>
                <w:sz w:val="24"/>
                <w:szCs w:val="24"/>
              </w:rPr>
              <w:t>96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58435E" w:rsidRPr="006F3B0C" w14:paraId="5DB1A9DA" w14:textId="77777777" w:rsidTr="00255AC3">
        <w:tc>
          <w:tcPr>
            <w:tcW w:w="6369" w:type="dxa"/>
          </w:tcPr>
          <w:p w14:paraId="1F5D704F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color w:val="000000" w:themeColor="text1"/>
                <w:sz w:val="24"/>
                <w:szCs w:val="24"/>
              </w:rPr>
              <w:t>1.1. Wynagrodzenie opiekunów</w:t>
            </w:r>
            <w:r w:rsidRPr="006F3B0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17" w:type="dxa"/>
          </w:tcPr>
          <w:p w14:paraId="5EAA4770" w14:textId="6EBB50DA" w:rsidR="0058435E" w:rsidRPr="006F3B0C" w:rsidRDefault="0058435E" w:rsidP="00B5306F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E1359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570 144,96 </w:t>
            </w:r>
            <w:r w:rsidR="00D770E5">
              <w:rPr>
                <w:rFonts w:ascii="Arial" w:hAnsi="Arial" w:cs="Arial"/>
                <w:sz w:val="24"/>
                <w:szCs w:val="24"/>
                <w14:ligatures w14:val="standardContextual"/>
              </w:rPr>
              <w:t>zł</w:t>
            </w:r>
          </w:p>
        </w:tc>
        <w:tc>
          <w:tcPr>
            <w:tcW w:w="3506" w:type="dxa"/>
          </w:tcPr>
          <w:p w14:paraId="45836B21" w14:textId="15E7886E" w:rsidR="0058435E" w:rsidRPr="006F3B0C" w:rsidRDefault="0058435E" w:rsidP="00B5306F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E1359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570 144,96 </w:t>
            </w:r>
            <w:r w:rsidR="00481288">
              <w:rPr>
                <w:rFonts w:ascii="Arial" w:hAnsi="Arial" w:cs="Arial"/>
                <w:sz w:val="24"/>
                <w:szCs w:val="24"/>
                <w14:ligatures w14:val="standardContextual"/>
              </w:rPr>
              <w:t>zł</w:t>
            </w:r>
          </w:p>
        </w:tc>
      </w:tr>
      <w:tr w:rsidR="0058435E" w:rsidRPr="006F3B0C" w14:paraId="09F71F1C" w14:textId="77777777" w:rsidTr="00255AC3">
        <w:tc>
          <w:tcPr>
            <w:tcW w:w="6369" w:type="dxa"/>
          </w:tcPr>
          <w:p w14:paraId="03CDFA5F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7623" w:type="dxa"/>
            <w:gridSpan w:val="2"/>
          </w:tcPr>
          <w:p w14:paraId="100AD0C0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Personel projektu</w:t>
            </w:r>
          </w:p>
        </w:tc>
      </w:tr>
      <w:tr w:rsidR="0058435E" w:rsidRPr="006F3B0C" w14:paraId="1D0F34F1" w14:textId="77777777" w:rsidTr="00255AC3">
        <w:tc>
          <w:tcPr>
            <w:tcW w:w="6369" w:type="dxa"/>
          </w:tcPr>
          <w:p w14:paraId="687121FA" w14:textId="64EAABF3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E1359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570 144,96 </w:t>
            </w:r>
            <w:r w:rsidR="00D770E5">
              <w:rPr>
                <w:rFonts w:ascii="Arial" w:hAnsi="Arial" w:cs="Arial"/>
                <w:sz w:val="24"/>
                <w:szCs w:val="24"/>
                <w14:ligatures w14:val="standardContextual"/>
              </w:rPr>
              <w:t>zł</w:t>
            </w:r>
          </w:p>
        </w:tc>
        <w:tc>
          <w:tcPr>
            <w:tcW w:w="7623" w:type="dxa"/>
            <w:gridSpan w:val="2"/>
          </w:tcPr>
          <w:p w14:paraId="5731657C" w14:textId="01E01502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E1359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570 144,96 </w:t>
            </w:r>
            <w:r w:rsidR="00481288">
              <w:rPr>
                <w:rFonts w:ascii="Arial" w:hAnsi="Arial" w:cs="Arial"/>
                <w:sz w:val="24"/>
                <w:szCs w:val="24"/>
                <w14:ligatures w14:val="standardContextual"/>
              </w:rPr>
              <w:t>zł</w:t>
            </w:r>
          </w:p>
        </w:tc>
      </w:tr>
      <w:tr w:rsidR="0058435E" w:rsidRPr="006F3B0C" w14:paraId="433F3C29" w14:textId="77777777" w:rsidTr="00255AC3">
        <w:tc>
          <w:tcPr>
            <w:tcW w:w="6369" w:type="dxa"/>
          </w:tcPr>
          <w:p w14:paraId="6B6ED4CB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23" w:type="dxa"/>
            <w:gridSpan w:val="2"/>
          </w:tcPr>
          <w:p w14:paraId="15E66862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XYZ</w:t>
            </w:r>
          </w:p>
        </w:tc>
      </w:tr>
      <w:tr w:rsidR="0058435E" w:rsidRPr="006F3B0C" w14:paraId="24FE3608" w14:textId="77777777" w:rsidTr="00255AC3">
        <w:tc>
          <w:tcPr>
            <w:tcW w:w="6369" w:type="dxa"/>
          </w:tcPr>
          <w:p w14:paraId="6BF3D273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  <w:t>1.2. Wyżywienie uczestników</w:t>
            </w:r>
          </w:p>
        </w:tc>
        <w:tc>
          <w:tcPr>
            <w:tcW w:w="4117" w:type="dxa"/>
          </w:tcPr>
          <w:p w14:paraId="03DD72A7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453 600,00 zł</w:t>
            </w:r>
          </w:p>
        </w:tc>
        <w:tc>
          <w:tcPr>
            <w:tcW w:w="3506" w:type="dxa"/>
          </w:tcPr>
          <w:p w14:paraId="6184214B" w14:textId="6B686E80" w:rsidR="0058435E" w:rsidRPr="006F3B0C" w:rsidRDefault="0058435E" w:rsidP="00B5306F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4</w:t>
            </w:r>
            <w:r w:rsidR="00393FCB">
              <w:rPr>
                <w:rFonts w:ascii="Arial" w:hAnsi="Arial" w:cs="Arial"/>
                <w:sz w:val="24"/>
                <w:szCs w:val="24"/>
              </w:rPr>
              <w:t>00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3FCB">
              <w:rPr>
                <w:rFonts w:ascii="Arial" w:hAnsi="Arial" w:cs="Arial"/>
                <w:sz w:val="24"/>
                <w:szCs w:val="24"/>
              </w:rPr>
              <w:t>0</w:t>
            </w:r>
            <w:r w:rsidRPr="006F3B0C">
              <w:rPr>
                <w:rFonts w:ascii="Arial" w:hAnsi="Arial" w:cs="Arial"/>
                <w:sz w:val="24"/>
                <w:szCs w:val="24"/>
              </w:rPr>
              <w:t>00,00 zł</w:t>
            </w:r>
          </w:p>
        </w:tc>
      </w:tr>
      <w:tr w:rsidR="0058435E" w:rsidRPr="006F3B0C" w14:paraId="7B00BBE1" w14:textId="77777777" w:rsidTr="00255AC3">
        <w:tc>
          <w:tcPr>
            <w:tcW w:w="6369" w:type="dxa"/>
          </w:tcPr>
          <w:p w14:paraId="476B8714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7623" w:type="dxa"/>
            <w:gridSpan w:val="2"/>
          </w:tcPr>
          <w:p w14:paraId="0329F09F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Koszty </w:t>
            </w:r>
            <w:r w:rsidRPr="009D63C0">
              <w:rPr>
                <w:rFonts w:ascii="Arial" w:hAnsi="Arial" w:cs="Arial"/>
                <w:sz w:val="24"/>
                <w:szCs w:val="24"/>
              </w:rPr>
              <w:t>wsparcia uczestników projektu oraz podmiotów objętych wsparciem</w:t>
            </w:r>
          </w:p>
        </w:tc>
      </w:tr>
      <w:tr w:rsidR="0058435E" w:rsidRPr="006F3B0C" w14:paraId="7F903C87" w14:textId="77777777" w:rsidTr="00255AC3">
        <w:tc>
          <w:tcPr>
            <w:tcW w:w="6369" w:type="dxa"/>
          </w:tcPr>
          <w:p w14:paraId="6634A8D0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453 600,00 zł</w:t>
            </w:r>
          </w:p>
        </w:tc>
        <w:tc>
          <w:tcPr>
            <w:tcW w:w="7623" w:type="dxa"/>
            <w:gridSpan w:val="2"/>
          </w:tcPr>
          <w:p w14:paraId="0D3D3112" w14:textId="65369809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4</w:t>
            </w:r>
            <w:r w:rsidR="00393FCB">
              <w:rPr>
                <w:rFonts w:ascii="Arial" w:hAnsi="Arial" w:cs="Arial"/>
                <w:sz w:val="24"/>
                <w:szCs w:val="24"/>
              </w:rPr>
              <w:t>00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3FCB">
              <w:rPr>
                <w:rFonts w:ascii="Arial" w:hAnsi="Arial" w:cs="Arial"/>
                <w:sz w:val="24"/>
                <w:szCs w:val="24"/>
              </w:rPr>
              <w:t>0</w:t>
            </w:r>
            <w:r w:rsidRPr="006F3B0C">
              <w:rPr>
                <w:rFonts w:ascii="Arial" w:hAnsi="Arial" w:cs="Arial"/>
                <w:sz w:val="24"/>
                <w:szCs w:val="24"/>
              </w:rPr>
              <w:t>00,00 zł</w:t>
            </w:r>
          </w:p>
        </w:tc>
      </w:tr>
      <w:tr w:rsidR="0058435E" w:rsidRPr="006F3B0C" w14:paraId="5B04044D" w14:textId="77777777" w:rsidTr="00255AC3">
        <w:tc>
          <w:tcPr>
            <w:tcW w:w="6369" w:type="dxa"/>
          </w:tcPr>
          <w:p w14:paraId="5B6F01B3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Limity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23" w:type="dxa"/>
            <w:gridSpan w:val="2"/>
          </w:tcPr>
          <w:p w14:paraId="4CA11734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XYZ </w:t>
            </w:r>
          </w:p>
        </w:tc>
      </w:tr>
      <w:tr w:rsidR="0058435E" w:rsidRPr="006F3B0C" w14:paraId="7BAFA4F2" w14:textId="77777777" w:rsidTr="00255AC3">
        <w:trPr>
          <w:trHeight w:val="781"/>
        </w:trPr>
        <w:tc>
          <w:tcPr>
            <w:tcW w:w="6369" w:type="dxa"/>
            <w:shd w:val="clear" w:color="auto" w:fill="F2F2F2" w:themeFill="background1" w:themeFillShade="F2"/>
          </w:tcPr>
          <w:p w14:paraId="4425D2B7" w14:textId="09549E08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  <w:t>Zadanie 2 Koszty pośrednie</w:t>
            </w:r>
            <w:r w:rsidR="007B5D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4117" w:type="dxa"/>
            <w:shd w:val="clear" w:color="auto" w:fill="F2F2F2" w:themeFill="background1" w:themeFillShade="F2"/>
          </w:tcPr>
          <w:p w14:paraId="7A11A106" w14:textId="3EDB3CE9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4079F9">
              <w:rPr>
                <w:rFonts w:ascii="Arial" w:hAnsi="Arial" w:cs="Arial"/>
                <w:sz w:val="24"/>
                <w:szCs w:val="24"/>
              </w:rPr>
              <w:t>200</w:t>
            </w:r>
            <w:r w:rsidR="00D50A33"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79F9">
              <w:rPr>
                <w:rFonts w:ascii="Arial" w:hAnsi="Arial" w:cs="Arial"/>
                <w:sz w:val="24"/>
                <w:szCs w:val="24"/>
              </w:rPr>
              <w:t>165</w:t>
            </w:r>
            <w:r w:rsidR="00D50A33" w:rsidRPr="006F3B0C">
              <w:rPr>
                <w:rFonts w:ascii="Arial" w:hAnsi="Arial" w:cs="Arial"/>
                <w:sz w:val="24"/>
                <w:szCs w:val="24"/>
              </w:rPr>
              <w:t>,</w:t>
            </w:r>
            <w:r w:rsidR="004079F9">
              <w:rPr>
                <w:rFonts w:ascii="Arial" w:hAnsi="Arial" w:cs="Arial"/>
                <w:sz w:val="24"/>
                <w:szCs w:val="24"/>
              </w:rPr>
              <w:t>4</w:t>
            </w:r>
            <w:r w:rsidR="00D50A33" w:rsidRPr="006F3B0C">
              <w:rPr>
                <w:rFonts w:ascii="Arial" w:hAnsi="Arial" w:cs="Arial"/>
                <w:sz w:val="24"/>
                <w:szCs w:val="24"/>
              </w:rPr>
              <w:t>0 zł</w:t>
            </w:r>
          </w:p>
        </w:tc>
        <w:tc>
          <w:tcPr>
            <w:tcW w:w="3506" w:type="dxa"/>
            <w:shd w:val="clear" w:color="auto" w:fill="F2F2F2" w:themeFill="background1" w:themeFillShade="F2"/>
          </w:tcPr>
          <w:p w14:paraId="115B6EA0" w14:textId="33F1A974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4079F9">
              <w:rPr>
                <w:rFonts w:ascii="Arial" w:hAnsi="Arial" w:cs="Arial"/>
                <w:sz w:val="24"/>
                <w:szCs w:val="24"/>
              </w:rPr>
              <w:t>200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79F9">
              <w:rPr>
                <w:rFonts w:ascii="Arial" w:hAnsi="Arial" w:cs="Arial"/>
                <w:sz w:val="24"/>
                <w:szCs w:val="24"/>
              </w:rPr>
              <w:t>165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,</w:t>
            </w:r>
            <w:r w:rsidR="004079F9">
              <w:rPr>
                <w:rFonts w:ascii="Arial" w:hAnsi="Arial" w:cs="Arial"/>
                <w:sz w:val="24"/>
                <w:szCs w:val="24"/>
              </w:rPr>
              <w:t>4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0 zł</w:t>
            </w:r>
          </w:p>
        </w:tc>
      </w:tr>
      <w:tr w:rsidR="0058435E" w:rsidRPr="006F3B0C" w14:paraId="3EFDF6A2" w14:textId="77777777" w:rsidTr="00255AC3">
        <w:tc>
          <w:tcPr>
            <w:tcW w:w="6369" w:type="dxa"/>
          </w:tcPr>
          <w:p w14:paraId="1C57DA4B" w14:textId="555BD977" w:rsidR="0058435E" w:rsidRPr="006F3B0C" w:rsidRDefault="0058435E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kosztu 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2.1. 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Koszty pośrednie - 2</w:t>
            </w:r>
            <w:r w:rsidR="008339FE">
              <w:rPr>
                <w:rFonts w:ascii="Arial" w:hAnsi="Arial" w:cs="Arial"/>
                <w:sz w:val="24"/>
                <w:szCs w:val="24"/>
                <w14:ligatures w14:val="standardContextual"/>
              </w:rPr>
              <w:t>0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% od kwalifikowalnych</w:t>
            </w:r>
          </w:p>
          <w:p w14:paraId="715E24D1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kosztów bezpośrednich</w:t>
            </w:r>
          </w:p>
        </w:tc>
        <w:tc>
          <w:tcPr>
            <w:tcW w:w="4117" w:type="dxa"/>
          </w:tcPr>
          <w:p w14:paraId="43B76142" w14:textId="507AAF82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4079F9">
              <w:rPr>
                <w:rFonts w:ascii="Arial" w:hAnsi="Arial" w:cs="Arial"/>
                <w:sz w:val="24"/>
                <w:szCs w:val="24"/>
              </w:rPr>
              <w:t>200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79F9">
              <w:rPr>
                <w:rFonts w:ascii="Arial" w:hAnsi="Arial" w:cs="Arial"/>
                <w:sz w:val="24"/>
                <w:szCs w:val="24"/>
              </w:rPr>
              <w:t>165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,</w:t>
            </w:r>
            <w:r w:rsidR="004079F9">
              <w:rPr>
                <w:rFonts w:ascii="Arial" w:hAnsi="Arial" w:cs="Arial"/>
                <w:sz w:val="24"/>
                <w:szCs w:val="24"/>
              </w:rPr>
              <w:t>4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0 zł</w:t>
            </w:r>
          </w:p>
        </w:tc>
        <w:tc>
          <w:tcPr>
            <w:tcW w:w="3506" w:type="dxa"/>
          </w:tcPr>
          <w:p w14:paraId="6D1AFA37" w14:textId="3767BD6A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4079F9">
              <w:rPr>
                <w:rFonts w:ascii="Arial" w:hAnsi="Arial" w:cs="Arial"/>
                <w:sz w:val="24"/>
                <w:szCs w:val="24"/>
              </w:rPr>
              <w:t>200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79F9">
              <w:rPr>
                <w:rFonts w:ascii="Arial" w:hAnsi="Arial" w:cs="Arial"/>
                <w:sz w:val="24"/>
                <w:szCs w:val="24"/>
              </w:rPr>
              <w:t>165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,</w:t>
            </w:r>
            <w:r w:rsidR="004079F9">
              <w:rPr>
                <w:rFonts w:ascii="Arial" w:hAnsi="Arial" w:cs="Arial"/>
                <w:sz w:val="24"/>
                <w:szCs w:val="24"/>
              </w:rPr>
              <w:t>4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0 zł</w:t>
            </w:r>
          </w:p>
        </w:tc>
      </w:tr>
      <w:tr w:rsidR="0058435E" w:rsidRPr="006F3B0C" w14:paraId="106B4329" w14:textId="77777777" w:rsidTr="00255AC3">
        <w:tc>
          <w:tcPr>
            <w:tcW w:w="6369" w:type="dxa"/>
          </w:tcPr>
          <w:p w14:paraId="2FEB78FF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7623" w:type="dxa"/>
            <w:gridSpan w:val="2"/>
          </w:tcPr>
          <w:p w14:paraId="778DA7CC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Rodzaj ryczałtu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58435E" w:rsidRPr="006F3B0C" w14:paraId="4E72E407" w14:textId="77777777" w:rsidTr="00255AC3">
        <w:tc>
          <w:tcPr>
            <w:tcW w:w="13992" w:type="dxa"/>
            <w:gridSpan w:val="3"/>
          </w:tcPr>
          <w:p w14:paraId="7DFC2DB8" w14:textId="424FEC5F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Wysokość stawki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2</w:t>
            </w:r>
            <w:r w:rsidR="008339FE">
              <w:rPr>
                <w:rFonts w:ascii="Arial" w:hAnsi="Arial" w:cs="Arial"/>
                <w:sz w:val="24"/>
                <w:szCs w:val="24"/>
              </w:rPr>
              <w:t>0</w:t>
            </w:r>
            <w:r w:rsidRPr="006F3B0C">
              <w:rPr>
                <w:rFonts w:ascii="Arial" w:hAnsi="Arial" w:cs="Arial"/>
                <w:sz w:val="24"/>
                <w:szCs w:val="24"/>
              </w:rPr>
              <w:t>,00 %</w:t>
            </w:r>
          </w:p>
        </w:tc>
      </w:tr>
      <w:tr w:rsidR="0058435E" w:rsidRPr="006F3B0C" w14:paraId="63D3B223" w14:textId="77777777" w:rsidTr="00255AC3">
        <w:tc>
          <w:tcPr>
            <w:tcW w:w="6369" w:type="dxa"/>
          </w:tcPr>
          <w:p w14:paraId="28A2C7DF" w14:textId="151B3B0F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4079F9">
              <w:rPr>
                <w:rFonts w:ascii="Arial" w:hAnsi="Arial" w:cs="Arial"/>
                <w:sz w:val="24"/>
                <w:szCs w:val="24"/>
              </w:rPr>
              <w:t>200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79F9">
              <w:rPr>
                <w:rFonts w:ascii="Arial" w:hAnsi="Arial" w:cs="Arial"/>
                <w:sz w:val="24"/>
                <w:szCs w:val="24"/>
              </w:rPr>
              <w:t>165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,</w:t>
            </w:r>
            <w:r w:rsidR="004079F9">
              <w:rPr>
                <w:rFonts w:ascii="Arial" w:hAnsi="Arial" w:cs="Arial"/>
                <w:sz w:val="24"/>
                <w:szCs w:val="24"/>
              </w:rPr>
              <w:t>4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0 zł</w:t>
            </w:r>
          </w:p>
        </w:tc>
        <w:tc>
          <w:tcPr>
            <w:tcW w:w="7623" w:type="dxa"/>
            <w:gridSpan w:val="2"/>
          </w:tcPr>
          <w:p w14:paraId="07DA7C00" w14:textId="5CF5AAAD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4079F9">
              <w:rPr>
                <w:rFonts w:ascii="Arial" w:hAnsi="Arial" w:cs="Arial"/>
                <w:sz w:val="24"/>
                <w:szCs w:val="24"/>
              </w:rPr>
              <w:t>200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79F9">
              <w:rPr>
                <w:rFonts w:ascii="Arial" w:hAnsi="Arial" w:cs="Arial"/>
                <w:sz w:val="24"/>
                <w:szCs w:val="24"/>
              </w:rPr>
              <w:t>165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,</w:t>
            </w:r>
            <w:r w:rsidR="004079F9">
              <w:rPr>
                <w:rFonts w:ascii="Arial" w:hAnsi="Arial" w:cs="Arial"/>
                <w:sz w:val="24"/>
                <w:szCs w:val="24"/>
              </w:rPr>
              <w:t>4</w:t>
            </w:r>
            <w:r w:rsidR="004079F9" w:rsidRPr="006F3B0C">
              <w:rPr>
                <w:rFonts w:ascii="Arial" w:hAnsi="Arial" w:cs="Arial"/>
                <w:sz w:val="24"/>
                <w:szCs w:val="24"/>
              </w:rPr>
              <w:t>0 zł</w:t>
            </w:r>
          </w:p>
        </w:tc>
      </w:tr>
      <w:tr w:rsidR="0058435E" w:rsidRPr="006F3B0C" w14:paraId="756584E3" w14:textId="77777777" w:rsidTr="00255AC3">
        <w:tc>
          <w:tcPr>
            <w:tcW w:w="6369" w:type="dxa"/>
          </w:tcPr>
          <w:p w14:paraId="4B65D403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7623" w:type="dxa"/>
            <w:gridSpan w:val="2"/>
          </w:tcPr>
          <w:p w14:paraId="1C835521" w14:textId="77777777" w:rsidR="0058435E" w:rsidRPr="006F3B0C" w:rsidRDefault="0058435E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XYZ</w:t>
            </w:r>
          </w:p>
        </w:tc>
      </w:tr>
    </w:tbl>
    <w:p w14:paraId="2A3902C6" w14:textId="77777777" w:rsidR="0058435E" w:rsidRDefault="0058435E" w:rsidP="00B5306F">
      <w:pPr>
        <w:rPr>
          <w:rFonts w:ascii="Arial" w:hAnsi="Arial" w:cs="Arial"/>
          <w:sz w:val="24"/>
          <w:szCs w:val="24"/>
        </w:rPr>
      </w:pPr>
    </w:p>
    <w:p w14:paraId="16B26B21" w14:textId="77777777" w:rsidR="00692039" w:rsidRDefault="00692039" w:rsidP="00B5306F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D70F64" w:rsidRPr="006F3B0C" w14:paraId="383494AC" w14:textId="77777777" w:rsidTr="00255AC3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78DFAE74" w14:textId="64C0BAC2" w:rsidR="00D70F64" w:rsidRPr="006F3B0C" w:rsidRDefault="00D70F64" w:rsidP="00B5306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  <w:r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D70F64" w:rsidRPr="006F3B0C" w14:paraId="11CC9D12" w14:textId="77777777" w:rsidTr="00255AC3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54386020" w14:textId="77777777" w:rsidR="00D70F64" w:rsidRPr="006F3B0C" w:rsidRDefault="00D70F64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t>Uzasadnienie poszczególnych wydatków wskazanych w budżecie projektu</w:t>
            </w:r>
          </w:p>
        </w:tc>
      </w:tr>
      <w:tr w:rsidR="00D70F64" w:rsidRPr="006F3B0C" w14:paraId="32983186" w14:textId="77777777" w:rsidTr="00255AC3">
        <w:tc>
          <w:tcPr>
            <w:tcW w:w="13992" w:type="dxa"/>
          </w:tcPr>
          <w:p w14:paraId="655F7DDD" w14:textId="419C9C26" w:rsidR="00D70F64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3E49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Obszar danych uzasadnienia 1.1 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Na stanowisku opiekuna w Dziennym Domu Pomocy zatrudnione zostaną </w:t>
            </w:r>
            <w:r w:rsidR="00E73CB6">
              <w:rPr>
                <w:rFonts w:ascii="Arial" w:hAnsi="Arial" w:cs="Arial"/>
                <w:sz w:val="24"/>
                <w:szCs w:val="24"/>
                <w14:ligatures w14:val="standardContextual"/>
              </w:rPr>
              <w:t>2</w:t>
            </w:r>
            <w:r w:rsidR="00E73CB6"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osoby, każda osoba w wymiarze 1 etatu w ramach umowy o pracę. </w:t>
            </w:r>
          </w:p>
          <w:p w14:paraId="7BAD554F" w14:textId="77777777" w:rsidR="00D70F64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</w:p>
          <w:p w14:paraId="4144DCCA" w14:textId="2EDFF808" w:rsidR="00D70F64" w:rsidRPr="00956EBC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W </w:t>
            </w:r>
            <w:r w:rsidRPr="00CA3AD9">
              <w:rPr>
                <w:rFonts w:ascii="Arial" w:hAnsi="Arial" w:cs="Arial"/>
                <w:sz w:val="24"/>
                <w:szCs w:val="24"/>
                <w14:ligatures w14:val="standardContextual"/>
              </w:rPr>
              <w:t>op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arciu</w:t>
            </w:r>
            <w:r w:rsidRPr="00CA3AD9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o prognozy dotyczące inflacji zawarte w „Wieloletnim Planie Finansowym Państwa na lata 2024-2027” przyjętym przez Radę Ministrów w dniu 30 kwietnia 2024 roku</w:t>
            </w:r>
            <w:r w:rsidR="002F1BA6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(dalej: WPFP)</w:t>
            </w:r>
            <w:r w:rsidR="0095592E">
              <w:rPr>
                <w:rFonts w:ascii="Arial" w:hAnsi="Arial" w:cs="Arial"/>
                <w:sz w:val="24"/>
                <w:szCs w:val="24"/>
                <w14:ligatures w14:val="standardContextual"/>
              </w:rPr>
              <w:t>,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zaplanowano indeksację kosztu w kolejnych latach realizacji projektu (</w:t>
            </w:r>
            <w:r w:rsidR="00F467EB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w 2026 r. o 4,1%,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w 202</w:t>
            </w:r>
            <w:r w:rsidR="00F467EB">
              <w:rPr>
                <w:rFonts w:ascii="Arial" w:hAnsi="Arial" w:cs="Arial"/>
                <w:sz w:val="24"/>
                <w:szCs w:val="24"/>
                <w14:ligatures w14:val="standardContextual"/>
              </w:rPr>
              <w:t>7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r. o </w:t>
            </w:r>
            <w:r w:rsidR="00F467EB">
              <w:rPr>
                <w:rFonts w:ascii="Arial" w:hAnsi="Arial" w:cs="Arial"/>
                <w:sz w:val="24"/>
                <w:szCs w:val="24"/>
                <w14:ligatures w14:val="standardContextual"/>
              </w:rPr>
              <w:t>3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,</w:t>
            </w:r>
            <w:r w:rsidR="00F467EB">
              <w:rPr>
                <w:rFonts w:ascii="Arial" w:hAnsi="Arial" w:cs="Arial"/>
                <w:sz w:val="24"/>
                <w:szCs w:val="24"/>
                <w14:ligatures w14:val="standardContextual"/>
              </w:rPr>
              <w:t>3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%, w 202</w:t>
            </w:r>
            <w:r w:rsidR="00F467EB">
              <w:rPr>
                <w:rFonts w:ascii="Arial" w:hAnsi="Arial" w:cs="Arial"/>
                <w:sz w:val="24"/>
                <w:szCs w:val="24"/>
                <w14:ligatures w14:val="standardContextual"/>
              </w:rPr>
              <w:t>8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r. o </w:t>
            </w:r>
            <w:r w:rsidR="00F467EB">
              <w:rPr>
                <w:rFonts w:ascii="Arial" w:hAnsi="Arial" w:cs="Arial"/>
                <w:sz w:val="24"/>
                <w:szCs w:val="24"/>
                <w14:ligatures w14:val="standardContextual"/>
              </w:rPr>
              <w:t>2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,</w:t>
            </w:r>
            <w:r w:rsidR="00F467EB">
              <w:rPr>
                <w:rFonts w:ascii="Arial" w:hAnsi="Arial" w:cs="Arial"/>
                <w:sz w:val="24"/>
                <w:szCs w:val="24"/>
                <w14:ligatures w14:val="standardContextual"/>
              </w:rPr>
              <w:t>5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%). </w:t>
            </w:r>
            <w:r w:rsidR="0095592E">
              <w:rPr>
                <w:rFonts w:ascii="Arial" w:hAnsi="Arial" w:cs="Arial"/>
                <w:sz w:val="24"/>
                <w:szCs w:val="24"/>
                <w14:ligatures w14:val="standardContextual"/>
              </w:rPr>
              <w:t>M</w:t>
            </w:r>
            <w:r w:rsidR="001C69EA">
              <w:rPr>
                <w:rFonts w:ascii="Arial" w:hAnsi="Arial" w:cs="Arial"/>
                <w:sz w:val="24"/>
                <w:szCs w:val="24"/>
                <w14:ligatures w14:val="standardContextual"/>
              </w:rPr>
              <w:t>iesięczne wynagrodzenia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t>za realizację usług opiekuńczych przez opiekunów</w:t>
            </w:r>
            <w:r>
              <w:rPr>
                <w:rFonts w:ascii="Arial" w:hAnsi="Arial" w:cs="Arial"/>
                <w:sz w:val="24"/>
                <w:szCs w:val="24"/>
              </w:rPr>
              <w:t xml:space="preserve"> (brutto brutto)</w:t>
            </w:r>
            <w:r w:rsidR="001C69EA">
              <w:rPr>
                <w:rFonts w:ascii="Arial" w:hAnsi="Arial" w:cs="Arial"/>
                <w:sz w:val="24"/>
                <w:szCs w:val="24"/>
              </w:rPr>
              <w:t xml:space="preserve"> uwzględniające indeksację w kolejnych latach: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69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9D713D8" w14:textId="77777777" w:rsidR="00D70F64" w:rsidRPr="00956EBC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Kal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k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ulacja:</w:t>
            </w:r>
          </w:p>
          <w:p w14:paraId="591E030E" w14:textId="09F41E9B" w:rsidR="00D70F64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2025 r.: </w:t>
            </w:r>
            <w:r w:rsidR="00CF3697">
              <w:rPr>
                <w:rFonts w:ascii="Arial" w:hAnsi="Arial" w:cs="Arial"/>
                <w:sz w:val="24"/>
                <w:szCs w:val="24"/>
                <w14:ligatures w14:val="standardContextual"/>
              </w:rPr>
              <w:t>2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osoby x </w:t>
            </w:r>
            <w:r w:rsidR="001C69EA">
              <w:rPr>
                <w:rFonts w:ascii="Arial" w:hAnsi="Arial" w:cs="Arial"/>
                <w:sz w:val="24"/>
                <w:szCs w:val="24"/>
                <w14:ligatures w14:val="standardContextual"/>
              </w:rPr>
              <w:t>6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mc x 7 </w:t>
            </w:r>
            <w:r w:rsidR="001C69EA">
              <w:rPr>
                <w:rFonts w:ascii="Arial" w:hAnsi="Arial" w:cs="Arial"/>
                <w:sz w:val="24"/>
                <w:szCs w:val="24"/>
                <w14:ligatures w14:val="standardContextual"/>
              </w:rPr>
              <w:t>500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,00 zł = </w:t>
            </w:r>
            <w:r w:rsid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90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00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0,00 zł</w:t>
            </w:r>
          </w:p>
          <w:p w14:paraId="6F680307" w14:textId="1E94134A" w:rsidR="00D70F64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2026 r.: </w:t>
            </w:r>
            <w:r w:rsidR="00CF3697">
              <w:rPr>
                <w:rFonts w:ascii="Arial" w:hAnsi="Arial" w:cs="Arial"/>
                <w:sz w:val="24"/>
                <w:szCs w:val="24"/>
                <w14:ligatures w14:val="standardContextual"/>
              </w:rPr>
              <w:t>2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osoby x 12 mc x 7 </w:t>
            </w:r>
            <w:r w:rsid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807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,</w:t>
            </w:r>
            <w:r w:rsid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50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zł</w:t>
            </w:r>
            <w:r w:rsidR="008F5AF6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(</w:t>
            </w:r>
            <w:r w:rsidR="008F5AF6"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wzrost o 4,1% w stosunku do 2025 r.)</w:t>
            </w:r>
            <w:r w:rsidR="008F5AF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= </w:t>
            </w:r>
            <w:r w:rsid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187 380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,00 zł</w:t>
            </w:r>
          </w:p>
          <w:p w14:paraId="0E2F4B53" w14:textId="7F399C8E" w:rsidR="001C69EA" w:rsidRDefault="001C69EA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2027 r.: 2 osoby x 12 mc</w:t>
            </w:r>
            <w:r w:rsidR="008F5AF6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x 8 065,15</w:t>
            </w:r>
            <w:r w:rsidR="008F5AF6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="00FE1359">
              <w:rPr>
                <w:rFonts w:ascii="Arial" w:hAnsi="Arial" w:cs="Arial"/>
                <w:sz w:val="24"/>
                <w:szCs w:val="24"/>
                <w14:ligatures w14:val="standardContextual"/>
              </w:rPr>
              <w:t>(</w:t>
            </w:r>
            <w:r w:rsidR="008F5AF6"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wzrost o </w:t>
            </w:r>
            <w:r w:rsidR="008F5AF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</w:t>
            </w:r>
            <w:r w:rsidR="008F5AF6"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,</w:t>
            </w:r>
            <w:r w:rsidR="008F5AF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</w:t>
            </w:r>
            <w:r w:rsidR="008F5AF6"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% w stosunku do 202</w:t>
            </w:r>
            <w:r w:rsidR="008F5AF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6</w:t>
            </w:r>
            <w:r w:rsidR="008F5AF6"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r.)</w:t>
            </w:r>
            <w:r w:rsidR="008F5AF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=</w:t>
            </w:r>
            <w:r w:rsidR="00291093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193 563,60 zł</w:t>
            </w:r>
          </w:p>
          <w:p w14:paraId="2DA6B0A0" w14:textId="56402D35" w:rsidR="001C69EA" w:rsidRPr="00291093" w:rsidRDefault="001C69EA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2028 r.: 2 osoby x 6 m</w:t>
            </w:r>
            <w:r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c</w:t>
            </w:r>
            <w:r w:rsidR="008F5AF6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="00291093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x 8 266,78</w:t>
            </w:r>
            <w:r w:rsidR="008F5AF6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="00291093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(</w:t>
            </w:r>
            <w:r w:rsidR="008F5AF6" w:rsidRPr="00291093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wzrost o 2,5% w stosunku do 2027 r.) = </w:t>
            </w:r>
            <w:r w:rsidR="00291093" w:rsidRPr="00291093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99 201,36 zł</w:t>
            </w:r>
          </w:p>
          <w:p w14:paraId="7AFA31F0" w14:textId="4B32F47C" w:rsidR="00D70F64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Razem: 5</w:t>
            </w:r>
            <w:r w:rsidR="00291093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70</w:t>
            </w:r>
            <w:r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="00291093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144</w:t>
            </w:r>
            <w:r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,</w:t>
            </w:r>
            <w:r w:rsidR="00291093"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96</w:t>
            </w:r>
            <w:r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zł</w:t>
            </w:r>
          </w:p>
          <w:p w14:paraId="136C6AAB" w14:textId="77777777" w:rsidR="00D70F64" w:rsidRPr="006F3B0C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</w:p>
          <w:p w14:paraId="1B6C7ECC" w14:textId="77777777" w:rsidR="00D70F64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Osoby pełniące obowiązki o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piekun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a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będą spełniać wymagania wynikające z załącznika do Regulaminu pn. „Standard dziennych domów pomocy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współfinansowanych z EFS+”.</w:t>
            </w:r>
          </w:p>
          <w:p w14:paraId="57223205" w14:textId="77777777" w:rsidR="00D70F64" w:rsidRPr="006F3B0C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</w:p>
          <w:p w14:paraId="2C492716" w14:textId="7C6C59BD" w:rsidR="00D70F64" w:rsidRPr="006F3B0C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Zadania opiekuna: świadczenie usług opiekuńczych i pielęgnacyjnych, w tym utrzymanie higieny osobistej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podopiecznych</w:t>
            </w:r>
            <w:r w:rsidR="005D4650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, </w:t>
            </w:r>
            <w:r w:rsidR="005D4650" w:rsidRPr="005D4650">
              <w:rPr>
                <w:rFonts w:ascii="Arial" w:hAnsi="Arial" w:cs="Arial"/>
                <w:sz w:val="24"/>
                <w:szCs w:val="24"/>
                <w14:ligatures w14:val="standardContextual"/>
              </w:rPr>
              <w:t>pomoc w zaspokajaniu codziennych potrzeb</w:t>
            </w:r>
            <w:r w:rsidR="005D4650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="005D4650" w:rsidRPr="005D4650">
              <w:rPr>
                <w:rFonts w:ascii="Arial" w:hAnsi="Arial" w:cs="Arial"/>
                <w:sz w:val="24"/>
                <w:szCs w:val="24"/>
                <w14:ligatures w14:val="standardContextual"/>
              </w:rPr>
              <w:t>życiowych</w:t>
            </w:r>
            <w:r w:rsidR="00C91D4A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oraz wspomaganie podczas zajęć w DDP.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</w:p>
          <w:p w14:paraId="0D6D3BB4" w14:textId="325B81ED" w:rsidR="00D70F64" w:rsidRPr="006F3B0C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6F3B0C">
              <w:rPr>
                <w:rFonts w:ascii="Arial" w:hAnsi="Arial" w:cs="Arial"/>
                <w:sz w:val="24"/>
                <w:szCs w:val="24"/>
              </w:rPr>
              <w:lastRenderedPageBreak/>
              <w:t xml:space="preserve">Przyjęta stawka wynagrodzenia jest zgodna ze stawkami </w:t>
            </w:r>
            <w:r w:rsidR="0032377A" w:rsidRPr="006F3B0C">
              <w:rPr>
                <w:rFonts w:ascii="Arial" w:hAnsi="Arial" w:cs="Arial"/>
                <w:sz w:val="24"/>
                <w:szCs w:val="24"/>
              </w:rPr>
              <w:t>wynagr</w:t>
            </w:r>
            <w:r w:rsidR="0032377A">
              <w:rPr>
                <w:rFonts w:ascii="Arial" w:hAnsi="Arial" w:cs="Arial"/>
                <w:sz w:val="24"/>
                <w:szCs w:val="24"/>
              </w:rPr>
              <w:t>o</w:t>
            </w:r>
            <w:r w:rsidR="0032377A" w:rsidRPr="006F3B0C">
              <w:rPr>
                <w:rFonts w:ascii="Arial" w:hAnsi="Arial" w:cs="Arial"/>
                <w:sz w:val="24"/>
                <w:szCs w:val="24"/>
              </w:rPr>
              <w:t>dzenia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obowiązującym u wnioskodawcy </w:t>
            </w:r>
            <w:r w:rsidR="007B3C09">
              <w:rPr>
                <w:rFonts w:ascii="Arial" w:hAnsi="Arial" w:cs="Arial"/>
                <w:sz w:val="24"/>
                <w:szCs w:val="24"/>
              </w:rPr>
              <w:t>na stanowisku opiekuna</w:t>
            </w:r>
            <w:r w:rsidR="0032377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70F64" w:rsidRPr="006F3B0C" w14:paraId="420BC189" w14:textId="77777777" w:rsidTr="00255AC3">
        <w:tc>
          <w:tcPr>
            <w:tcW w:w="13992" w:type="dxa"/>
          </w:tcPr>
          <w:p w14:paraId="13B09FF3" w14:textId="741A53DE" w:rsidR="00D70F64" w:rsidRPr="006F3B0C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3E497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Obszar danych uzasadnienia 1.2 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Wyżywienie (24 miesiące x 21 dni x 20 osób x 45,00 zł</w:t>
            </w:r>
            <w:r w:rsidR="001C345E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= 453 600,00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). Usługa zlecona.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br/>
              <w:t xml:space="preserve">Wyżywienie obejmuje 2 posiłki: śniadanie i dwudaniowy obiad. 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br/>
              <w:t xml:space="preserve">Stawka 45,00 zł obejmuje koszt dowozu. </w:t>
            </w: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br/>
              <w:t>Jadłospis będzie uwzględniał indywidualne potrzeby uczestników (np. choroby układu pokarmowego).</w:t>
            </w:r>
          </w:p>
          <w:p w14:paraId="79F4DE94" w14:textId="77777777" w:rsidR="00D70F64" w:rsidRPr="006F3B0C" w:rsidRDefault="00D70F64" w:rsidP="00B530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sz w:val="24"/>
                <w:szCs w:val="24"/>
              </w:rPr>
              <w:t>Wysokość wydatku oszacowano na podstawie dokonanego rozeznania rynku.</w:t>
            </w:r>
          </w:p>
        </w:tc>
      </w:tr>
      <w:bookmarkEnd w:id="0"/>
    </w:tbl>
    <w:p w14:paraId="1FD401E9" w14:textId="77777777" w:rsidR="00652E38" w:rsidRDefault="00652E38" w:rsidP="00B5306F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01F317E8" w14:textId="04D0CCD5" w:rsidR="00287EE8" w:rsidRDefault="003E756F" w:rsidP="00B5306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Nieruchomości przeznaczone na funkcjonowanie DDP</w:t>
      </w:r>
    </w:p>
    <w:p w14:paraId="174E801E" w14:textId="7F7AE84E" w:rsidR="00287EE8" w:rsidRPr="00287EE8" w:rsidRDefault="00287EE8" w:rsidP="00B5306F">
      <w:pPr>
        <w:rPr>
          <w:rFonts w:ascii="Arial" w:hAnsi="Arial" w:cs="Arial"/>
          <w:sz w:val="24"/>
          <w:szCs w:val="24"/>
        </w:rPr>
      </w:pPr>
      <w:r w:rsidRPr="00287EE8">
        <w:rPr>
          <w:rFonts w:ascii="Arial" w:hAnsi="Arial" w:cs="Arial"/>
          <w:sz w:val="24"/>
          <w:szCs w:val="24"/>
        </w:rPr>
        <w:t xml:space="preserve">W związku z tym, że wydatki zaplanowane w budżecie </w:t>
      </w:r>
      <w:r w:rsidR="00F528F4">
        <w:rPr>
          <w:rFonts w:ascii="Arial" w:hAnsi="Arial" w:cs="Arial"/>
          <w:sz w:val="24"/>
          <w:szCs w:val="24"/>
        </w:rPr>
        <w:t>podlegają ocenie zasadności, efektywności i racjonalności</w:t>
      </w:r>
      <w:r w:rsidRPr="00287EE8">
        <w:rPr>
          <w:rFonts w:ascii="Arial" w:hAnsi="Arial" w:cs="Arial"/>
          <w:sz w:val="24"/>
          <w:szCs w:val="24"/>
        </w:rPr>
        <w:t>, zwróć szczególną uwagę na to czy zapisy wniosku dostarczają</w:t>
      </w:r>
      <w:r w:rsidR="00C035C9">
        <w:rPr>
          <w:rFonts w:ascii="Arial" w:hAnsi="Arial" w:cs="Arial"/>
          <w:sz w:val="24"/>
          <w:szCs w:val="24"/>
        </w:rPr>
        <w:t xml:space="preserve"> danych</w:t>
      </w:r>
      <w:r w:rsidRPr="00287EE8">
        <w:rPr>
          <w:rFonts w:ascii="Arial" w:hAnsi="Arial" w:cs="Arial"/>
          <w:sz w:val="24"/>
          <w:szCs w:val="24"/>
        </w:rPr>
        <w:t xml:space="preserve"> </w:t>
      </w:r>
      <w:r w:rsidRPr="00C035C9">
        <w:rPr>
          <w:rFonts w:ascii="Arial" w:hAnsi="Arial" w:cs="Arial"/>
          <w:sz w:val="24"/>
          <w:szCs w:val="24"/>
        </w:rPr>
        <w:t>niezbędnych</w:t>
      </w:r>
      <w:r w:rsidRPr="00287EE8">
        <w:rPr>
          <w:rFonts w:ascii="Arial" w:hAnsi="Arial" w:cs="Arial"/>
          <w:sz w:val="24"/>
          <w:szCs w:val="24"/>
        </w:rPr>
        <w:t xml:space="preserve"> do oceny </w:t>
      </w:r>
      <w:r w:rsidR="00F528F4">
        <w:rPr>
          <w:rFonts w:ascii="Arial" w:hAnsi="Arial" w:cs="Arial"/>
          <w:sz w:val="24"/>
          <w:szCs w:val="24"/>
        </w:rPr>
        <w:t>kosztów związanych z</w:t>
      </w:r>
      <w:r w:rsidR="008D2479">
        <w:rPr>
          <w:rFonts w:ascii="Arial" w:hAnsi="Arial" w:cs="Arial"/>
          <w:sz w:val="24"/>
          <w:szCs w:val="24"/>
        </w:rPr>
        <w:t xml:space="preserve"> budynkiem, w którym ma mieścić się DDP</w:t>
      </w:r>
      <w:r w:rsidRPr="00287EE8">
        <w:rPr>
          <w:rFonts w:ascii="Arial" w:hAnsi="Arial" w:cs="Arial"/>
          <w:sz w:val="24"/>
          <w:szCs w:val="24"/>
        </w:rPr>
        <w:t>. W tym celu</w:t>
      </w:r>
      <w:r w:rsidR="001D0612">
        <w:rPr>
          <w:rFonts w:ascii="Arial" w:hAnsi="Arial" w:cs="Arial"/>
          <w:sz w:val="24"/>
          <w:szCs w:val="24"/>
        </w:rPr>
        <w:t xml:space="preserve"> konieczne jest przedstawienie informacji wskazanych poniżej</w:t>
      </w:r>
      <w:r w:rsidRPr="00287EE8">
        <w:rPr>
          <w:rFonts w:ascii="Arial" w:hAnsi="Arial" w:cs="Arial"/>
          <w:sz w:val="24"/>
          <w:szCs w:val="24"/>
        </w:rPr>
        <w:t>:</w:t>
      </w: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10065"/>
      </w:tblGrid>
      <w:tr w:rsidR="00287EE8" w:rsidRPr="008C776F" w14:paraId="77D1B0D6" w14:textId="77777777" w:rsidTr="00611672">
        <w:trPr>
          <w:trHeight w:val="504"/>
        </w:trPr>
        <w:tc>
          <w:tcPr>
            <w:tcW w:w="709" w:type="dxa"/>
            <w:shd w:val="clear" w:color="auto" w:fill="D9D9D9" w:themeFill="background1" w:themeFillShade="D9"/>
          </w:tcPr>
          <w:p w14:paraId="4F9361D5" w14:textId="77777777" w:rsidR="00287EE8" w:rsidRPr="008C776F" w:rsidRDefault="00287EE8" w:rsidP="00B5306F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41CF8A0" w14:textId="77777777" w:rsidR="00287EE8" w:rsidRPr="008C776F" w:rsidRDefault="00287EE8" w:rsidP="00B5306F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Rodzaj kosztu</w:t>
            </w:r>
          </w:p>
        </w:tc>
        <w:tc>
          <w:tcPr>
            <w:tcW w:w="10065" w:type="dxa"/>
            <w:shd w:val="clear" w:color="auto" w:fill="D9D9D9" w:themeFill="background1" w:themeFillShade="D9"/>
          </w:tcPr>
          <w:p w14:paraId="467B0092" w14:textId="786390C6" w:rsidR="00287EE8" w:rsidRPr="008C776F" w:rsidRDefault="003E756F" w:rsidP="00B5306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Wymagane informacje </w:t>
            </w:r>
            <w:r w:rsidR="00C91D4A">
              <w:rPr>
                <w:rFonts w:ascii="Arial" w:hAnsi="Arial" w:cs="Arial"/>
                <w:b/>
                <w:bCs/>
              </w:rPr>
              <w:t xml:space="preserve">i zasady </w:t>
            </w:r>
            <w:r w:rsidR="002F1BA6">
              <w:rPr>
                <w:rFonts w:ascii="Arial" w:hAnsi="Arial" w:cs="Arial"/>
                <w:b/>
                <w:bCs/>
              </w:rPr>
              <w:t xml:space="preserve">oceny kosztu </w:t>
            </w:r>
          </w:p>
        </w:tc>
      </w:tr>
      <w:tr w:rsidR="00287EE8" w:rsidRPr="008C776F" w14:paraId="3D2D8385" w14:textId="77777777" w:rsidTr="00611672">
        <w:trPr>
          <w:trHeight w:val="690"/>
        </w:trPr>
        <w:tc>
          <w:tcPr>
            <w:tcW w:w="709" w:type="dxa"/>
          </w:tcPr>
          <w:p w14:paraId="4279ECBD" w14:textId="77777777" w:rsidR="00287EE8" w:rsidRPr="008C776F" w:rsidRDefault="00287EE8" w:rsidP="00B5306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 w:rsidRPr="008C776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693" w:type="dxa"/>
          </w:tcPr>
          <w:p w14:paraId="5A7BF72F" w14:textId="0585C688" w:rsidR="00287EE8" w:rsidRPr="008C776F" w:rsidRDefault="003E756F" w:rsidP="00B5306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Adaptacja </w:t>
            </w:r>
            <w:r w:rsidR="001D0612">
              <w:rPr>
                <w:rFonts w:ascii="Arial" w:hAnsi="Arial" w:cs="Arial"/>
                <w:b/>
                <w:bCs/>
              </w:rPr>
              <w:t xml:space="preserve">nieruchomości </w:t>
            </w:r>
            <w:r>
              <w:rPr>
                <w:rFonts w:ascii="Arial" w:hAnsi="Arial" w:cs="Arial"/>
                <w:b/>
                <w:bCs/>
              </w:rPr>
              <w:t>na potrzeby funkcjonowania DDP</w:t>
            </w:r>
          </w:p>
        </w:tc>
        <w:tc>
          <w:tcPr>
            <w:tcW w:w="10065" w:type="dxa"/>
          </w:tcPr>
          <w:p w14:paraId="7E58FB11" w14:textId="4D27EF65" w:rsidR="00F528F4" w:rsidRDefault="00F528F4" w:rsidP="00B5306F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Uzasadnienie konieczności ponoszenia kosztów adaptacji w kontekście możliwości pozyskania innych pomieszczeń, budynków na obszarze realizacji projektu oraz opis obecnego stanu nieruchomości w odniesieniu do wymogów Standardu Dziennych Domów Pomocy oraz standardów dostępności.</w:t>
            </w:r>
          </w:p>
          <w:p w14:paraId="607A08FD" w14:textId="292EFED5" w:rsidR="00287EE8" w:rsidRPr="009C4012" w:rsidRDefault="003817B6" w:rsidP="00B5306F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11672">
              <w:rPr>
                <w:rFonts w:ascii="Arial" w:hAnsi="Arial" w:cs="Arial"/>
                <w:sz w:val="24"/>
                <w:szCs w:val="24"/>
              </w:rPr>
              <w:t xml:space="preserve">Informacja nt. tytułu prawnego do nieruchomości, której dotyczą koszty adaptacji. W </w:t>
            </w:r>
            <w:r w:rsidRPr="009C4012">
              <w:rPr>
                <w:rFonts w:ascii="Arial" w:hAnsi="Arial" w:cs="Arial"/>
                <w:sz w:val="24"/>
                <w:szCs w:val="24"/>
              </w:rPr>
              <w:t>przypadku, gdy nie jest ona własnością wnioskodawcy/partnera, KOP może zakwestionować zasadność ponoszenia takich wydatków. Jeśli projekt zostanie skierowany do negocjacji</w:t>
            </w:r>
            <w:r w:rsidR="002F1BA6" w:rsidRPr="009C4012">
              <w:rPr>
                <w:rFonts w:ascii="Arial" w:hAnsi="Arial" w:cs="Arial"/>
                <w:sz w:val="24"/>
                <w:szCs w:val="24"/>
              </w:rPr>
              <w:t>,</w:t>
            </w:r>
            <w:r w:rsidRPr="009C4012">
              <w:rPr>
                <w:rFonts w:ascii="Arial" w:hAnsi="Arial" w:cs="Arial"/>
                <w:sz w:val="24"/>
                <w:szCs w:val="24"/>
              </w:rPr>
              <w:t xml:space="preserve"> wymagane będzie przedstawienie długoterminowej umowy najmu.  </w:t>
            </w:r>
          </w:p>
          <w:p w14:paraId="2573AB6C" w14:textId="77777777" w:rsidR="002F1BA6" w:rsidRPr="009C4012" w:rsidRDefault="003817B6" w:rsidP="00B5306F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C4012">
              <w:rPr>
                <w:rFonts w:ascii="Arial" w:hAnsi="Arial" w:cs="Arial"/>
                <w:sz w:val="24"/>
                <w:szCs w:val="24"/>
              </w:rPr>
              <w:t xml:space="preserve">Szczegółowy opis zakresu prac (np. metraż powierzchni, której dotyczą dane prace, ceny i ilości materiałów, koszty robocizny). Na etapie negocjacji możesz zostać </w:t>
            </w:r>
            <w:r w:rsidRPr="009C4012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</w:t>
            </w:r>
            <w:r w:rsidR="00F528F4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szczegółowy kosztorys inwestorski opracowany przez wyspecjalizowany podmiot</w:t>
            </w:r>
            <w:r w:rsidR="002F1BA6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.</w:t>
            </w:r>
          </w:p>
          <w:p w14:paraId="566CEEA6" w14:textId="3905900A" w:rsidR="008D2479" w:rsidRPr="009C4012" w:rsidRDefault="008D2479" w:rsidP="00B5306F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C4012">
              <w:rPr>
                <w:rFonts w:ascii="Arial" w:hAnsi="Arial" w:cs="Arial"/>
                <w:sz w:val="24"/>
                <w:szCs w:val="24"/>
              </w:rPr>
              <w:t xml:space="preserve">Koszty remontów i adaptacji mogą dotyczyć wyłącznie dostosowania pomieszczeń i budynków do pełnienia nowych funkcji, tym samym np. koszty związane z termomodernizacją całego budynku w przypadku umiejscowienia DDP w części jego pomieszczeń lub prace w ramach modernizacji budynku o stanie technicznym </w:t>
            </w:r>
            <w:r w:rsidR="00C91D4A" w:rsidRPr="009C4012">
              <w:rPr>
                <w:rFonts w:ascii="Arial" w:hAnsi="Arial" w:cs="Arial"/>
                <w:sz w:val="24"/>
                <w:szCs w:val="24"/>
              </w:rPr>
              <w:t>umożliwiającym</w:t>
            </w:r>
            <w:r w:rsidRPr="009C40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1D4A" w:rsidRPr="009C4012">
              <w:rPr>
                <w:rFonts w:ascii="Arial" w:hAnsi="Arial" w:cs="Arial"/>
                <w:sz w:val="24"/>
                <w:szCs w:val="24"/>
              </w:rPr>
              <w:t>funkcjonowanie</w:t>
            </w:r>
            <w:r w:rsidRPr="009C4012">
              <w:rPr>
                <w:rFonts w:ascii="Arial" w:hAnsi="Arial" w:cs="Arial"/>
                <w:sz w:val="24"/>
                <w:szCs w:val="24"/>
              </w:rPr>
              <w:t xml:space="preserve"> w nim ośrodka wsparcia (</w:t>
            </w:r>
            <w:r w:rsidR="00C91D4A" w:rsidRPr="009C4012">
              <w:rPr>
                <w:rFonts w:ascii="Arial" w:hAnsi="Arial" w:cs="Arial"/>
                <w:sz w:val="24"/>
                <w:szCs w:val="24"/>
              </w:rPr>
              <w:t>podwyższające</w:t>
            </w:r>
            <w:r w:rsidRPr="009C4012">
              <w:rPr>
                <w:rFonts w:ascii="Arial" w:hAnsi="Arial" w:cs="Arial"/>
                <w:sz w:val="24"/>
                <w:szCs w:val="24"/>
              </w:rPr>
              <w:t xml:space="preserve"> standard nieruchomości ponad wymagany) nie będą </w:t>
            </w:r>
            <w:r w:rsidR="00C91D4A" w:rsidRPr="009C4012">
              <w:rPr>
                <w:rFonts w:ascii="Arial" w:hAnsi="Arial" w:cs="Arial"/>
                <w:sz w:val="24"/>
                <w:szCs w:val="24"/>
              </w:rPr>
              <w:t>zaakceptowane</w:t>
            </w:r>
            <w:r w:rsidRPr="009C40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2A2DD8" w14:textId="1D621283" w:rsidR="00AE74A6" w:rsidRPr="001B1042" w:rsidRDefault="001D0612" w:rsidP="00B5306F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Wysokość nakładów poniesionych na adaptację będzie weryfikowana w odniesieniu do planowanych efektów, czyli liczby nowych, utworzonych miejsc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w ośrodkach wsparcia.</w:t>
            </w:r>
          </w:p>
        </w:tc>
      </w:tr>
      <w:tr w:rsidR="001D0612" w:rsidRPr="008C776F" w14:paraId="3610823B" w14:textId="77777777" w:rsidTr="003817B6">
        <w:trPr>
          <w:trHeight w:val="690"/>
        </w:trPr>
        <w:tc>
          <w:tcPr>
            <w:tcW w:w="709" w:type="dxa"/>
          </w:tcPr>
          <w:p w14:paraId="5055EB6F" w14:textId="2F1C0631" w:rsidR="001D0612" w:rsidRPr="008C776F" w:rsidRDefault="001D0612" w:rsidP="00B5306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2.</w:t>
            </w:r>
          </w:p>
        </w:tc>
        <w:tc>
          <w:tcPr>
            <w:tcW w:w="2693" w:type="dxa"/>
          </w:tcPr>
          <w:p w14:paraId="0B35E68E" w14:textId="4136D4E8" w:rsidR="001D0612" w:rsidRDefault="001D0612" w:rsidP="00B5306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Zakup nieruchomości</w:t>
            </w:r>
          </w:p>
        </w:tc>
        <w:tc>
          <w:tcPr>
            <w:tcW w:w="10065" w:type="dxa"/>
          </w:tcPr>
          <w:p w14:paraId="3AE05AC7" w14:textId="089C3B76" w:rsidR="00AE74A6" w:rsidRDefault="001D0612" w:rsidP="00B5306F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61167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IZ przyjmuje, że koszt zakupu nieruchomości jest kosztem kwalifikowalnym tylko w wyjątkowych, szczegółowo uzasadnionych sytuacjach związanych z brakiem dostępności innych budynków/pomieszczeń na obszarze realizacji projektu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. </w:t>
            </w:r>
            <w:r w:rsidR="00C91D4A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br/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W związku z tym</w:t>
            </w:r>
            <w:r w:rsidR="00491EC4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,</w:t>
            </w:r>
            <w:r w:rsidRPr="0061167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musisz we wniosku przedstawić analizę </w:t>
            </w:r>
            <w:r w:rsidR="00AE74A6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zasobów własnych wnioskodawcy i partnera (jeśli realizujesz projekt partnerski) oraz analizę </w:t>
            </w:r>
            <w:r w:rsidRPr="0061167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rynku nieruchomości na 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obszarze gminy, w której realizujesz projekt, uwzględniającą dostępność budynków na wynajem</w:t>
            </w:r>
            <w:r w:rsidR="00AE74A6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spełniających standardy DDP i ewentualnych kosztów dostosowania tych budynków.</w:t>
            </w:r>
          </w:p>
          <w:p w14:paraId="0F641D93" w14:textId="04A3728E" w:rsidR="00AE74A6" w:rsidRPr="00611672" w:rsidRDefault="00AE74A6" w:rsidP="00B5306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Lines="60" w:before="144" w:afterLines="120" w:after="288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61167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Ocena zasadności 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zakupu </w:t>
            </w:r>
            <w:r w:rsidRPr="0061167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powiązana 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będzie </w:t>
            </w:r>
            <w:r w:rsidRPr="0061167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z oceną potencjału 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technicznego </w:t>
            </w:r>
            <w:r w:rsidRPr="0061167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wnioskodawcy do realizacji projektu. </w:t>
            </w:r>
          </w:p>
          <w:p w14:paraId="6356E802" w14:textId="77777777" w:rsidR="001D0612" w:rsidRDefault="00AE74A6" w:rsidP="00B5306F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Wysokość nakładów poniesionych na zakup nieruchomości będzie weryfikowana w odniesieniu do planowanych efektów, czyli liczby nowych, utworzonych miejsc w ośrodkach wsparcia.</w:t>
            </w:r>
          </w:p>
          <w:p w14:paraId="2DDA9846" w14:textId="6DB073BA" w:rsidR="008673B6" w:rsidRPr="00611672" w:rsidRDefault="008673B6" w:rsidP="00B5306F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Pamiętaj o konieczności uzasadnienia formy nabycia praw do nieruchomości oraz o spełnieniu warunków wskazanych w </w:t>
            </w:r>
            <w:r w:rsidRPr="00C85F55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Wytyczn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ych</w:t>
            </w:r>
            <w:r w:rsidRPr="00C85F55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dotycząc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ych</w:t>
            </w:r>
            <w:r w:rsidRPr="00C85F55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kwalifikowalności wydatków na lata 2021-2027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w p</w:t>
            </w:r>
            <w:r w:rsidRPr="0072500E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odrozdzia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le</w:t>
            </w:r>
            <w:r w:rsidRPr="0072500E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3.4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dotyczącym z</w:t>
            </w:r>
            <w:r w:rsidRPr="0072500E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akup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u</w:t>
            </w:r>
            <w:r w:rsidRPr="0072500E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nieruchomości</w:t>
            </w:r>
            <w:r w:rsidR="00467088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.</w:t>
            </w:r>
          </w:p>
        </w:tc>
      </w:tr>
      <w:tr w:rsidR="00C91D4A" w:rsidRPr="008C776F" w14:paraId="6514DEE9" w14:textId="77777777" w:rsidTr="009C4012">
        <w:trPr>
          <w:trHeight w:val="690"/>
        </w:trPr>
        <w:tc>
          <w:tcPr>
            <w:tcW w:w="709" w:type="dxa"/>
          </w:tcPr>
          <w:p w14:paraId="69F840A4" w14:textId="7D57E07F" w:rsidR="00C91D4A" w:rsidRDefault="00C91D4A" w:rsidP="00B5306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3.</w:t>
            </w:r>
          </w:p>
        </w:tc>
        <w:tc>
          <w:tcPr>
            <w:tcW w:w="2693" w:type="dxa"/>
            <w:shd w:val="clear" w:color="auto" w:fill="auto"/>
          </w:tcPr>
          <w:p w14:paraId="73D4B19C" w14:textId="0622ECC6" w:rsidR="00C91D4A" w:rsidRPr="009C4012" w:rsidRDefault="00C91D4A" w:rsidP="00B5306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9C4012">
              <w:rPr>
                <w:rFonts w:ascii="Arial" w:hAnsi="Arial" w:cs="Arial"/>
                <w:b/>
                <w:bCs/>
              </w:rPr>
              <w:t>Udostępnienie pomieszczeń lub budynku</w:t>
            </w:r>
          </w:p>
        </w:tc>
        <w:tc>
          <w:tcPr>
            <w:tcW w:w="10065" w:type="dxa"/>
            <w:shd w:val="clear" w:color="auto" w:fill="auto"/>
          </w:tcPr>
          <w:p w14:paraId="63CA6818" w14:textId="0063425C" w:rsidR="00C91D4A" w:rsidRPr="009C4012" w:rsidRDefault="00943D63" w:rsidP="00B5306F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Udostepnienie pomieszczeń lub budynku na potrzeby funkcjonowania DDP to wkład własny niepieniężny</w:t>
            </w:r>
            <w:r w:rsidR="003745E2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.</w:t>
            </w:r>
            <w:r w:rsidR="00020AA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</w:t>
            </w:r>
          </w:p>
          <w:p w14:paraId="753E519B" w14:textId="23AE020D" w:rsidR="00020AAB" w:rsidRPr="009C4012" w:rsidRDefault="00020AAB" w:rsidP="00B5306F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Wkład</w:t>
            </w:r>
            <w:r w:rsidR="00491EC4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em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niepieniężn</w:t>
            </w:r>
            <w:r w:rsidR="006D168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y</w:t>
            </w:r>
            <w:r w:rsidR="00491EC4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m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nie </w:t>
            </w:r>
            <w:r w:rsidR="00491EC4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mogą być </w:t>
            </w:r>
            <w:r w:rsidR="006D168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nieruchomości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uprzednio współfinansowan</w:t>
            </w:r>
            <w:r w:rsidR="006D168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e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ze środków UE</w:t>
            </w:r>
            <w:r w:rsidR="006D168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(informację w tym zakresie musisz wskazać we wniosku o dofinansowanie)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.</w:t>
            </w:r>
          </w:p>
          <w:p w14:paraId="639DC996" w14:textId="1341CC7E" w:rsidR="00943D63" w:rsidRPr="009C4012" w:rsidRDefault="00943D63" w:rsidP="00B5306F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Jako wkładu niepieniężnego nie wykazuj pomieszczeń, którymi dysponujesz na podstawie umowy najmu, w tym bezterminowej umowy najmu lub dzierżawy</w:t>
            </w:r>
            <w:r w:rsidR="006D168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(koszty najmu/dzierżawy mogą stanowić wkład własny pieniężny)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.</w:t>
            </w:r>
          </w:p>
          <w:p w14:paraId="2488F4D4" w14:textId="01FEBE6A" w:rsidR="00943D63" w:rsidRPr="009C4012" w:rsidRDefault="00943D63" w:rsidP="00B5306F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Zamieść we wniosku informację czy udostępniasz budynek czy jego część oraz metraż udostępnianych pomieszczeń.</w:t>
            </w:r>
          </w:p>
          <w:p w14:paraId="6BE14CBF" w14:textId="77777777" w:rsidR="003745E2" w:rsidRPr="009C4012" w:rsidRDefault="00943D63" w:rsidP="00B5306F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Jeśli</w:t>
            </w:r>
            <w:r w:rsidR="003745E2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przedmiotem udostepnienia jest cała nieruchomość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, wskaż je</w:t>
            </w:r>
            <w:r w:rsidR="003745E2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j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wartość w oparciu o operat szacunkowy</w:t>
            </w:r>
            <w:r w:rsidR="003745E2" w:rsidRPr="009C4012">
              <w:rPr>
                <w:rFonts w:ascii="Arial" w:hAnsi="Arial" w:cs="Arial"/>
              </w:rPr>
              <w:t xml:space="preserve"> </w:t>
            </w:r>
            <w:r w:rsidR="003745E2" w:rsidRPr="009C4012">
              <w:rPr>
                <w:rFonts w:ascii="Arial" w:hAnsi="Arial" w:cs="Arial"/>
                <w:sz w:val="24"/>
                <w:szCs w:val="24"/>
              </w:rPr>
              <w:t>sporządzonym przez uprawnionego rzeczoznawcę zgodnie z przepisami ustawy z dnia 21 sierpnia 1997 r. o gospodarce nieruchomościami</w:t>
            </w:r>
            <w:r w:rsidR="003745E2" w:rsidRPr="009C4012">
              <w:t xml:space="preserve"> 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oraz datę sporządzenia</w:t>
            </w:r>
            <w:r w:rsidR="003745E2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operatu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. W przypadku, gdy Twój projekt będzie </w:t>
            </w:r>
            <w:r w:rsidR="003745E2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skierowany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do negocjacji, możesz zostać poproszony o dostarczenie operatu.</w:t>
            </w:r>
            <w:r w:rsidR="003745E2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</w:t>
            </w:r>
          </w:p>
          <w:p w14:paraId="05E88E5E" w14:textId="4A400641" w:rsidR="00943D63" w:rsidRPr="009C4012" w:rsidRDefault="003745E2" w:rsidP="00B5306F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Jeżeli w ramach wkładu wykazujesz tylko część budynku operat szacunkowy nie jest wymagany – w takim przypadku wartość wkładu wyceń jako koszt amortyzacji lub wynajmu (np. w oparciu o cennik danej instytucji). Wskaż informacje dotyczące cennika np. datę </w:t>
            </w:r>
            <w:r w:rsidR="006D168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zarządzenia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wójta lub burmistrza przyjmującego cennik najmu pomieszczeń należących do gminy oraz informację, dotycząc</w:t>
            </w:r>
            <w:r w:rsidR="00020AA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ą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miejsca zamieszczenia </w:t>
            </w:r>
            <w:r w:rsidR="006D168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zarządzenia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na stronach internetowych gminy. </w:t>
            </w:r>
            <w:r w:rsidR="00020AA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Cennik</w:t>
            </w:r>
            <w:r w:rsidR="00C35796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musi być</w:t>
            </w:r>
            <w:r w:rsidR="00020AA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aktualny i uniwersalny tj. nie może być wydany na cele wyceny pomieszczeń wykorzystywanych w ramach projektów unijnych.</w:t>
            </w:r>
          </w:p>
          <w:p w14:paraId="41AEAC4D" w14:textId="47B00782" w:rsidR="00020AAB" w:rsidRPr="009C4012" w:rsidRDefault="003745E2" w:rsidP="00B5306F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Niezależnie od przedstawionych dokumentów wartość udostepnienia będzie</w:t>
            </w:r>
            <w:r w:rsidR="00020AA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podlegać weryfikacji przez członków KOP.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</w:t>
            </w:r>
            <w:r w:rsidR="00020AA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Wartość wkładu niepieniężnego nie może 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przekraczać </w:t>
            </w:r>
            <w:r w:rsidR="00020AA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stawek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ryn</w:t>
            </w:r>
            <w:r w:rsidR="00020AAB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k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owych na obszarze realizacji projektu</w:t>
            </w:r>
            <w:r w:rsid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.</w:t>
            </w:r>
          </w:p>
        </w:tc>
      </w:tr>
    </w:tbl>
    <w:p w14:paraId="143E8A35" w14:textId="77777777" w:rsidR="00287EE8" w:rsidRDefault="00287EE8" w:rsidP="00B5306F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235A00E4" w14:textId="5D86B79A" w:rsidR="00652E38" w:rsidRDefault="00EA4092" w:rsidP="00B5306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lastRenderedPageBreak/>
        <w:t>Indeksacja kosztów</w:t>
      </w:r>
    </w:p>
    <w:p w14:paraId="2C573052" w14:textId="3716410C" w:rsidR="0013179A" w:rsidRPr="003978F1" w:rsidRDefault="00687666" w:rsidP="00B5306F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687666">
        <w:rPr>
          <w:rFonts w:ascii="Arial" w:hAnsi="Arial" w:cs="Arial"/>
          <w:sz w:val="24"/>
          <w:szCs w:val="24"/>
        </w:rPr>
        <w:t>Co do zasady, IZ nie dopuszcza zakładania w budżecie indeksacji kosztów. Wyjątkiem, w projektach wieloletnich, jest indeksacja wynagrodzeń personelu, zaangażowanego na podstawie stosunku pracy. Uzasadnienie podwyżek powinno opierać się o prognozy dotyczące inflacji w okresie realizacji projektu zawarte w „Wieloletnim Planie Finansowym Państwa na lata 2024-2027” przyjętym przez Rade Ministrów w dniu 30 kwietnia 2024 roku. Niezależnie od powyższego, szacowanie podstawy wartości wynagrodzenia powinno odbywać się zgodnie z wymogami Wytycznych.</w:t>
      </w:r>
    </w:p>
    <w:p w14:paraId="14C91FC7" w14:textId="6F124E6A" w:rsidR="008531CF" w:rsidRPr="006F3B0C" w:rsidRDefault="008531CF" w:rsidP="00B5306F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6BA9270F" w14:textId="77777777" w:rsidR="00E25C69" w:rsidRDefault="00E25C69" w:rsidP="00B530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Najczęściej występujące kategorie kosztów: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3347"/>
        <w:gridCol w:w="10028"/>
      </w:tblGrid>
      <w:tr w:rsidR="00E25C69" w14:paraId="0C5D8493" w14:textId="77777777" w:rsidTr="00C675C2">
        <w:tc>
          <w:tcPr>
            <w:tcW w:w="617" w:type="dxa"/>
          </w:tcPr>
          <w:p w14:paraId="23A224F0" w14:textId="1FEFB9A3" w:rsidR="00E25C69" w:rsidRDefault="00E25C6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7" w:type="dxa"/>
          </w:tcPr>
          <w:p w14:paraId="1E6FDF69" w14:textId="76493309" w:rsidR="00E25C69" w:rsidRDefault="00E25C6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kategorii kosztu</w:t>
            </w:r>
          </w:p>
        </w:tc>
        <w:tc>
          <w:tcPr>
            <w:tcW w:w="10028" w:type="dxa"/>
          </w:tcPr>
          <w:p w14:paraId="44DA78EA" w14:textId="3FD55CEE" w:rsidR="00E25C69" w:rsidRDefault="00E25C6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Przykłady wydatków</w:t>
            </w:r>
          </w:p>
        </w:tc>
      </w:tr>
      <w:tr w:rsidR="00E25C69" w14:paraId="1064CA59" w14:textId="77777777" w:rsidTr="00C675C2">
        <w:tc>
          <w:tcPr>
            <w:tcW w:w="617" w:type="dxa"/>
          </w:tcPr>
          <w:p w14:paraId="7AB3AD87" w14:textId="2CAD1508" w:rsidR="00E25C69" w:rsidRDefault="00E25C6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7" w:type="dxa"/>
          </w:tcPr>
          <w:p w14:paraId="5A1501BD" w14:textId="1CB4AD5B" w:rsidR="00E25C69" w:rsidRPr="006D5F3A" w:rsidRDefault="00E25C69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Personel projektu</w:t>
            </w:r>
          </w:p>
        </w:tc>
        <w:tc>
          <w:tcPr>
            <w:tcW w:w="10028" w:type="dxa"/>
          </w:tcPr>
          <w:p w14:paraId="45CEF92C" w14:textId="0BE2E996" w:rsidR="00E25C69" w:rsidRDefault="00E25C6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oszty </w:t>
            </w:r>
            <w:r w:rsidR="00D942DC">
              <w:rPr>
                <w:rFonts w:ascii="Arial" w:hAnsi="Arial" w:cs="Arial"/>
                <w:sz w:val="24"/>
                <w:szCs w:val="24"/>
              </w:rPr>
              <w:t xml:space="preserve">wynagrodzenia 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na podstawie </w:t>
            </w:r>
            <w:r w:rsidRPr="00C675C2">
              <w:rPr>
                <w:rFonts w:ascii="Arial" w:hAnsi="Arial" w:cs="Arial"/>
                <w:sz w:val="24"/>
                <w:szCs w:val="24"/>
              </w:rPr>
              <w:t>stosunku pracy</w:t>
            </w:r>
            <w:r w:rsidR="00BB7E35">
              <w:rPr>
                <w:rFonts w:ascii="Arial" w:hAnsi="Arial" w:cs="Arial"/>
                <w:sz w:val="24"/>
                <w:szCs w:val="24"/>
              </w:rPr>
              <w:t xml:space="preserve"> (wydatki osobowe, składki, dodatki do wynagrodzenia w przypadku oddelegowania obowiązków)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2F08680" w14:textId="36A2B221" w:rsidR="00E25C69" w:rsidRDefault="00E25C6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zaangażowania </w:t>
            </w:r>
            <w:r w:rsidRPr="00E25C69">
              <w:rPr>
                <w:rFonts w:ascii="Arial" w:hAnsi="Arial" w:cs="Arial"/>
                <w:sz w:val="24"/>
                <w:szCs w:val="24"/>
              </w:rPr>
              <w:t>wolontariuszy</w:t>
            </w:r>
            <w:r w:rsidR="00BB7E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25C69" w14:paraId="41319FFD" w14:textId="77777777" w:rsidTr="00C675C2">
        <w:tc>
          <w:tcPr>
            <w:tcW w:w="617" w:type="dxa"/>
          </w:tcPr>
          <w:p w14:paraId="7F113441" w14:textId="0283F63E" w:rsidR="00E25C69" w:rsidRDefault="00E25C6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7" w:type="dxa"/>
          </w:tcPr>
          <w:p w14:paraId="520EA27D" w14:textId="05AAADB9" w:rsidR="00E25C69" w:rsidRPr="006D5F3A" w:rsidRDefault="00E25C69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Koszty wsparcia uczestników projektu oraz podmiotów objętych wsparciem</w:t>
            </w:r>
          </w:p>
        </w:tc>
        <w:tc>
          <w:tcPr>
            <w:tcW w:w="10028" w:type="dxa"/>
          </w:tcPr>
          <w:p w14:paraId="0E7D8509" w14:textId="03D0B82F" w:rsidR="00BB7E35" w:rsidRDefault="00BB7E35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</w:t>
            </w:r>
            <w:r w:rsidR="00D942DC">
              <w:rPr>
                <w:rFonts w:ascii="Arial" w:hAnsi="Arial" w:cs="Arial"/>
                <w:sz w:val="24"/>
                <w:szCs w:val="24"/>
              </w:rPr>
              <w:t>wynagrodzenia</w:t>
            </w:r>
            <w:r>
              <w:rPr>
                <w:rFonts w:ascii="Arial" w:hAnsi="Arial" w:cs="Arial"/>
                <w:sz w:val="24"/>
                <w:szCs w:val="24"/>
              </w:rPr>
              <w:t xml:space="preserve"> na podstawie umowy cywilno-prawnej</w:t>
            </w:r>
            <w:r w:rsidR="009D4901">
              <w:rPr>
                <w:rFonts w:ascii="Arial" w:hAnsi="Arial" w:cs="Arial"/>
                <w:sz w:val="24"/>
                <w:szCs w:val="24"/>
              </w:rPr>
              <w:t xml:space="preserve"> np. zatrudnienie </w:t>
            </w:r>
            <w:r w:rsidR="00556E7B">
              <w:rPr>
                <w:rFonts w:ascii="Arial" w:hAnsi="Arial" w:cs="Arial"/>
                <w:sz w:val="24"/>
                <w:szCs w:val="24"/>
              </w:rPr>
              <w:t>psychologa, fizjoterapeuty</w:t>
            </w:r>
            <w:r w:rsidR="00C675C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099B4F" w14:textId="349BCDF5" w:rsidR="00BB7E35" w:rsidRDefault="00BB7E35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6D5F3A">
              <w:rPr>
                <w:rFonts w:ascii="Arial" w:hAnsi="Arial" w:cs="Arial"/>
                <w:sz w:val="24"/>
                <w:szCs w:val="24"/>
              </w:rPr>
              <w:t>koszt</w:t>
            </w:r>
            <w:r w:rsidR="00B053FF">
              <w:rPr>
                <w:rFonts w:ascii="Arial" w:hAnsi="Arial" w:cs="Arial"/>
                <w:sz w:val="24"/>
                <w:szCs w:val="24"/>
              </w:rPr>
              <w:t xml:space="preserve"> wyżywienia uczestników DDP</w:t>
            </w:r>
            <w:r w:rsidR="006D5F3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C912AA9" w14:textId="33EF4095" w:rsidR="00E25C69" w:rsidRDefault="00BB7E35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E25C69" w:rsidRPr="00E25C69">
              <w:rPr>
                <w:rFonts w:ascii="Arial" w:hAnsi="Arial" w:cs="Arial"/>
                <w:sz w:val="24"/>
                <w:szCs w:val="24"/>
              </w:rPr>
              <w:t xml:space="preserve">zakup </w:t>
            </w:r>
            <w:r>
              <w:rPr>
                <w:rFonts w:ascii="Arial" w:hAnsi="Arial" w:cs="Arial"/>
                <w:sz w:val="24"/>
                <w:szCs w:val="24"/>
              </w:rPr>
              <w:t xml:space="preserve">materiałów </w:t>
            </w:r>
            <w:r w:rsidR="00556E7B">
              <w:rPr>
                <w:rFonts w:ascii="Arial" w:hAnsi="Arial" w:cs="Arial"/>
                <w:sz w:val="24"/>
                <w:szCs w:val="24"/>
              </w:rPr>
              <w:t>niezbędnych do prowadzenia warsztatów w DDP</w:t>
            </w:r>
            <w:r w:rsidR="00435DF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C77A83B" w14:textId="4DF34693" w:rsidR="00E25AD9" w:rsidRDefault="00E25AD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zatrudnienie opiekunek świadczących usługi w miejscu zamieszkania na podstawie umów cywilno-prawnych</w:t>
            </w:r>
            <w:r w:rsidR="00435DF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67C7F70" w14:textId="060FAF42" w:rsidR="00E25AD9" w:rsidRDefault="00E25AD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zakup środków pielęgnacyjnych</w:t>
            </w:r>
            <w:r w:rsidR="00B5306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D1FA5" w14:paraId="5AE5E261" w14:textId="77777777" w:rsidTr="00C675C2">
        <w:tc>
          <w:tcPr>
            <w:tcW w:w="617" w:type="dxa"/>
          </w:tcPr>
          <w:p w14:paraId="6460C448" w14:textId="1E20AC58" w:rsidR="001D1FA5" w:rsidRDefault="00217957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1D1FA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7" w:type="dxa"/>
          </w:tcPr>
          <w:p w14:paraId="6F56E8ED" w14:textId="08EDF87E" w:rsidR="001D1FA5" w:rsidRPr="006D5F3A" w:rsidRDefault="001D1FA5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Nieruchomości</w:t>
            </w:r>
          </w:p>
        </w:tc>
        <w:tc>
          <w:tcPr>
            <w:tcW w:w="10028" w:type="dxa"/>
          </w:tcPr>
          <w:p w14:paraId="2C28FD24" w14:textId="4A68640F" w:rsidR="001D1FA5" w:rsidRDefault="001D1FA5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udostępnienie pomieszczeń </w:t>
            </w:r>
            <w:r w:rsidR="00C675C2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7B28A5">
              <w:rPr>
                <w:rFonts w:ascii="Arial" w:hAnsi="Arial" w:cs="Arial"/>
                <w:sz w:val="24"/>
                <w:szCs w:val="24"/>
              </w:rPr>
              <w:t>potrzeby</w:t>
            </w:r>
            <w:r w:rsidR="00C92A29">
              <w:rPr>
                <w:rFonts w:ascii="Arial" w:hAnsi="Arial" w:cs="Arial"/>
                <w:sz w:val="24"/>
                <w:szCs w:val="24"/>
              </w:rPr>
              <w:t xml:space="preserve"> DDP</w:t>
            </w:r>
            <w:r w:rsidR="00C675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5CB5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w ramach wkładu własnego niepieniężnego</w:t>
            </w:r>
            <w:r w:rsidR="00485CB5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432C614" w14:textId="7142AED6" w:rsidR="001D1FA5" w:rsidRDefault="001D1FA5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najem pomieszczeń</w:t>
            </w:r>
            <w:r w:rsidR="007B28A5">
              <w:rPr>
                <w:rFonts w:ascii="Arial" w:hAnsi="Arial" w:cs="Arial"/>
                <w:sz w:val="24"/>
                <w:szCs w:val="24"/>
              </w:rPr>
              <w:t xml:space="preserve"> na potrzeby DDP.</w:t>
            </w:r>
          </w:p>
        </w:tc>
      </w:tr>
      <w:tr w:rsidR="00E25AD9" w14:paraId="2DD3FE87" w14:textId="77777777" w:rsidTr="00C675C2">
        <w:tc>
          <w:tcPr>
            <w:tcW w:w="617" w:type="dxa"/>
          </w:tcPr>
          <w:p w14:paraId="3F2F0192" w14:textId="0016E7B1" w:rsidR="00E25AD9" w:rsidRDefault="00E25AD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14:paraId="095C097F" w14:textId="4DC7DFF3" w:rsidR="00E25AD9" w:rsidRPr="006D5F3A" w:rsidRDefault="00E25AD9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Dostawy inne niż środki trwałe</w:t>
            </w:r>
          </w:p>
        </w:tc>
        <w:tc>
          <w:tcPr>
            <w:tcW w:w="10028" w:type="dxa"/>
          </w:tcPr>
          <w:p w14:paraId="2AE4FD3E" w14:textId="3308D9D4" w:rsidR="00E25AD9" w:rsidRDefault="00E25AD9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koszty eksploatacyjne pomieszczeń przeznaczonych na DDP: np. wody, energii</w:t>
            </w:r>
          </w:p>
        </w:tc>
      </w:tr>
      <w:tr w:rsidR="00435DFF" w14:paraId="597988AE" w14:textId="77777777" w:rsidTr="00C675C2">
        <w:tc>
          <w:tcPr>
            <w:tcW w:w="617" w:type="dxa"/>
          </w:tcPr>
          <w:p w14:paraId="16948F71" w14:textId="6D8DFC2E" w:rsidR="00435DFF" w:rsidRDefault="00435DFF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14:paraId="5C4FAE54" w14:textId="06FAB9B9" w:rsidR="00435DFF" w:rsidRDefault="00435DFF" w:rsidP="00B530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Roboty budowlane</w:t>
            </w:r>
          </w:p>
        </w:tc>
        <w:tc>
          <w:tcPr>
            <w:tcW w:w="10028" w:type="dxa"/>
          </w:tcPr>
          <w:p w14:paraId="77DFA2E8" w14:textId="1C0C9108" w:rsidR="00435DFF" w:rsidRDefault="00435DFF" w:rsidP="00B530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dotyczące adaptacji </w:t>
            </w:r>
            <w:r w:rsidR="00983ABB">
              <w:rPr>
                <w:rFonts w:ascii="Arial" w:hAnsi="Arial" w:cs="Arial"/>
                <w:sz w:val="24"/>
                <w:szCs w:val="24"/>
              </w:rPr>
              <w:t>nieruchomości</w:t>
            </w:r>
            <w:r w:rsidR="007D208E">
              <w:rPr>
                <w:rFonts w:ascii="Arial" w:hAnsi="Arial" w:cs="Arial"/>
                <w:sz w:val="24"/>
                <w:szCs w:val="24"/>
              </w:rPr>
              <w:t xml:space="preserve"> na potrzeby funkcjonowania DDP</w:t>
            </w:r>
          </w:p>
        </w:tc>
      </w:tr>
    </w:tbl>
    <w:p w14:paraId="5BD1711B" w14:textId="77777777" w:rsidR="006D5F3A" w:rsidRDefault="006D5F3A" w:rsidP="00B5306F">
      <w:pPr>
        <w:rPr>
          <w:rFonts w:ascii="Arial" w:hAnsi="Arial" w:cs="Arial"/>
          <w:sz w:val="24"/>
          <w:szCs w:val="24"/>
        </w:rPr>
      </w:pPr>
    </w:p>
    <w:p w14:paraId="33224BF0" w14:textId="0C9C1B56" w:rsidR="009B2F73" w:rsidRPr="006D5F3A" w:rsidRDefault="009B2F73" w:rsidP="00B5306F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Trwałość projektu</w:t>
      </w:r>
    </w:p>
    <w:p w14:paraId="45C7FD72" w14:textId="77777777" w:rsidR="009B2F73" w:rsidRPr="006F3B0C" w:rsidRDefault="009B2F73" w:rsidP="00B5306F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F3B0C">
        <w:rPr>
          <w:rFonts w:ascii="Arial" w:hAnsi="Arial" w:cs="Arial"/>
          <w:sz w:val="24"/>
          <w:szCs w:val="24"/>
        </w:rPr>
        <w:t xml:space="preserve"> odniesieniu do wydatków ponoszonych jako cross-financing lub w sytuacji, gdy projekt podlega obowiązkowi utrzymania inwestycji zgodnie z obowiązującymi zasadami pomocy publicznej</w:t>
      </w:r>
      <w:r>
        <w:rPr>
          <w:rFonts w:ascii="Arial" w:hAnsi="Arial" w:cs="Arial"/>
          <w:sz w:val="24"/>
          <w:szCs w:val="24"/>
        </w:rPr>
        <w:t xml:space="preserve"> Beneficjent zobowiązany jest do zachowania trwałości projektu.</w:t>
      </w:r>
    </w:p>
    <w:p w14:paraId="0A5503DC" w14:textId="09A58C17" w:rsidR="00646850" w:rsidRPr="008609F9" w:rsidRDefault="009B2F73" w:rsidP="00B5306F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takim wypadku t</w:t>
      </w:r>
      <w:r w:rsidRPr="006F3B0C">
        <w:rPr>
          <w:rFonts w:ascii="Arial" w:hAnsi="Arial" w:cs="Arial"/>
          <w:sz w:val="24"/>
          <w:szCs w:val="24"/>
        </w:rPr>
        <w:t xml:space="preserve">rwałość projektu musi być zachowana przez okres 5 lat (3 lat w przypadku MŚP – w odniesieniu do projektów, </w:t>
      </w:r>
      <w:r w:rsidR="00977F20">
        <w:rPr>
          <w:rFonts w:ascii="Arial" w:hAnsi="Arial" w:cs="Arial"/>
          <w:sz w:val="24"/>
          <w:szCs w:val="24"/>
        </w:rPr>
        <w:br/>
      </w:r>
      <w:r w:rsidRPr="006F3B0C">
        <w:rPr>
          <w:rFonts w:ascii="Arial" w:hAnsi="Arial" w:cs="Arial"/>
          <w:sz w:val="24"/>
          <w:szCs w:val="24"/>
        </w:rPr>
        <w:t>z którymi związany jest wymóg utrzymania inwestycji lub miejsc pracy) od daty płatności końcowej na rzecz beneficjenta.</w:t>
      </w:r>
      <w:r w:rsidR="00473A2F">
        <w:rPr>
          <w:rFonts w:ascii="Arial" w:hAnsi="Arial" w:cs="Arial"/>
          <w:sz w:val="24"/>
          <w:szCs w:val="24"/>
        </w:rPr>
        <w:br/>
      </w:r>
    </w:p>
    <w:p w14:paraId="31BC7B43" w14:textId="7A46D48C" w:rsidR="00FB711E" w:rsidRPr="00CA44E9" w:rsidRDefault="00FB711E" w:rsidP="00B5306F">
      <w:pPr>
        <w:spacing w:before="120" w:after="120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Cross-financing</w:t>
      </w:r>
    </w:p>
    <w:p w14:paraId="26D177D5" w14:textId="74F54186" w:rsidR="00FB711E" w:rsidRPr="006F3B0C" w:rsidRDefault="007842F4" w:rsidP="00B5306F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B711E" w:rsidRPr="006F3B0C">
        <w:rPr>
          <w:rFonts w:ascii="Arial" w:hAnsi="Arial" w:cs="Arial"/>
          <w:sz w:val="24"/>
          <w:szCs w:val="24"/>
        </w:rPr>
        <w:t>W przypadku projektów EFS+ cross-financing może dotyczyć wyłącznie:</w:t>
      </w:r>
    </w:p>
    <w:p w14:paraId="4CEEEC96" w14:textId="77777777" w:rsidR="00FB711E" w:rsidRPr="006F3B0C" w:rsidRDefault="00FB711E" w:rsidP="00B5306F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a) zakupu gruntu i nieruchomości, o ile warunki z podrozdziału nr 3.4 Wytycznych dotyczących kwalifikowalności wydatków na lata 2021-2027 są spełnione,</w:t>
      </w:r>
    </w:p>
    <w:p w14:paraId="04F717E7" w14:textId="2EFC0667" w:rsidR="00FB711E" w:rsidRPr="006F3B0C" w:rsidRDefault="00FB711E" w:rsidP="00B5306F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b) zakupu infrastruktury rozumianej jako budowa nowej infrastruktury oraz wykonywanie wszelkich prac w ramach istniejącej infrastruktury, których wynik staje się częścią nieruchomości i które zostają trwale przyłączone do nieruchomości, </w:t>
      </w:r>
      <w:r w:rsidR="00977F20">
        <w:rPr>
          <w:rFonts w:ascii="Arial" w:hAnsi="Arial" w:cs="Arial"/>
          <w:sz w:val="24"/>
          <w:szCs w:val="24"/>
        </w:rPr>
        <w:br/>
      </w:r>
      <w:r w:rsidRPr="006F3B0C">
        <w:rPr>
          <w:rFonts w:ascii="Arial" w:hAnsi="Arial" w:cs="Arial"/>
          <w:sz w:val="24"/>
          <w:szCs w:val="24"/>
        </w:rPr>
        <w:t>w szczególności adaptacja oraz prace remontowe związane z dostosowaniem nieruchomości lub pomieszczeń do nowej funkcji (np. wykonanie podjazdu do budynku, zainstalowanie windy w budynku, renowacja budynku lub pomieszczeń, prace adaptacyjne w budynku lub pomieszczeniach),</w:t>
      </w:r>
    </w:p>
    <w:p w14:paraId="165CB17E" w14:textId="77777777" w:rsidR="00FB711E" w:rsidRPr="006F3B0C" w:rsidRDefault="00FB711E" w:rsidP="00B5306F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lastRenderedPageBreak/>
        <w:t>c) zakupu mebli, sprzętu i pojazdów, z wyjątkiem sytuacji, gdy:</w:t>
      </w:r>
    </w:p>
    <w:p w14:paraId="7D11E791" w14:textId="77777777" w:rsidR="00FB711E" w:rsidRPr="006F3B0C" w:rsidRDefault="00FB711E" w:rsidP="00B5306F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i) zakupy te zostaną zamortyzowane w całości w okresie realizacji projektu, z zastrzeżeniem podrozdziału nr 3.7 Wytycznych dotyczących kwalifikowalności wydatków na lata 2021-2027, lub</w:t>
      </w:r>
    </w:p>
    <w:p w14:paraId="32ED99BE" w14:textId="158E722A" w:rsidR="00FB711E" w:rsidRPr="006F3B0C" w:rsidRDefault="00FB711E" w:rsidP="00B5306F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ii) beneficjent udowodni, że zakup będzie najbardziej opłacalną opcją, tj. wymaga mniejszych nakładów finansowych niż inne opcje, np. najem lub leasing, ale jednocześnie jest odpowiedni do osiągnięcia celu projektu; przy porównywaniu kosztów finansowych związanych z różnymi opcjami, ocena powinna opierać się na przedmiotach </w:t>
      </w:r>
      <w:r w:rsidR="00977F20">
        <w:rPr>
          <w:rFonts w:ascii="Arial" w:hAnsi="Arial" w:cs="Arial"/>
          <w:sz w:val="24"/>
          <w:szCs w:val="24"/>
        </w:rPr>
        <w:br/>
      </w:r>
      <w:r w:rsidRPr="006F3B0C">
        <w:rPr>
          <w:rFonts w:ascii="Arial" w:hAnsi="Arial" w:cs="Arial"/>
          <w:sz w:val="24"/>
          <w:szCs w:val="24"/>
        </w:rPr>
        <w:t>o podobnych cechach; uzasadnienie zakupu jako najbardziej opłacalnej opcji powinno wynikać z zatwierdzonego wniosku o dofinansowanie projektu, lub</w:t>
      </w:r>
    </w:p>
    <w:p w14:paraId="602FCF6F" w14:textId="77777777" w:rsidR="00FB711E" w:rsidRPr="006F3B0C" w:rsidRDefault="00FB711E" w:rsidP="00B5306F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iii) zakupy te są konieczne dla osiągniecia celów projektu (np. doposażenie pracowni naukowych); uzasadnienie konieczności tych zakupów powinno wynikać z zatwierdzonego wniosku o dofinansowanie projektu (za niezasadny należy uznać zakup sprzętu dokonanego w celu wspomagania procesu wdrażania projektu, np. zakup komputerów na potrzeby szkolenia nauczycieli).</w:t>
      </w:r>
    </w:p>
    <w:p w14:paraId="61969B07" w14:textId="14BE7972" w:rsidR="004448E4" w:rsidRPr="004448E4" w:rsidRDefault="00FB711E" w:rsidP="00B5306F">
      <w:pPr>
        <w:spacing w:before="120" w:after="120"/>
        <w:rPr>
          <w:rFonts w:ascii="Arial" w:hAnsi="Arial" w:cs="Arial"/>
          <w:sz w:val="24"/>
          <w:szCs w:val="24"/>
        </w:rPr>
      </w:pPr>
      <w:r w:rsidRPr="009B2F73">
        <w:rPr>
          <w:rFonts w:ascii="Arial" w:hAnsi="Arial" w:cs="Arial"/>
          <w:b/>
          <w:bCs/>
          <w:sz w:val="24"/>
          <w:szCs w:val="24"/>
        </w:rPr>
        <w:t xml:space="preserve">Warunki z </w:t>
      </w:r>
      <w:proofErr w:type="spellStart"/>
      <w:r w:rsidRPr="009B2F73">
        <w:rPr>
          <w:rFonts w:ascii="Arial" w:hAnsi="Arial" w:cs="Arial"/>
          <w:b/>
          <w:bCs/>
          <w:sz w:val="24"/>
          <w:szCs w:val="24"/>
        </w:rPr>
        <w:t>tiretów</w:t>
      </w:r>
      <w:proofErr w:type="spellEnd"/>
      <w:r w:rsidRPr="009B2F73">
        <w:rPr>
          <w:rFonts w:ascii="Arial" w:hAnsi="Arial" w:cs="Arial"/>
          <w:b/>
          <w:bCs/>
          <w:sz w:val="24"/>
          <w:szCs w:val="24"/>
        </w:rPr>
        <w:t xml:space="preserve"> i-iii są rozłączne, co oznacza, że w przypadku spełnienia któregokolwiek z nich, zakup mebli, sprzętu </w:t>
      </w:r>
      <w:r w:rsidR="00977F20">
        <w:rPr>
          <w:rFonts w:ascii="Arial" w:hAnsi="Arial" w:cs="Arial"/>
          <w:b/>
          <w:bCs/>
          <w:sz w:val="24"/>
          <w:szCs w:val="24"/>
        </w:rPr>
        <w:br/>
      </w:r>
      <w:r w:rsidRPr="009B2F73">
        <w:rPr>
          <w:rFonts w:ascii="Arial" w:hAnsi="Arial" w:cs="Arial"/>
          <w:b/>
          <w:bCs/>
          <w:sz w:val="24"/>
          <w:szCs w:val="24"/>
        </w:rPr>
        <w:t>i pojazdów może być kwalifikowalny w ramach EFS+ poza cross-</w:t>
      </w:r>
      <w:proofErr w:type="spellStart"/>
      <w:r w:rsidRPr="009B2F73">
        <w:rPr>
          <w:rFonts w:ascii="Arial" w:hAnsi="Arial" w:cs="Arial"/>
          <w:b/>
          <w:bCs/>
          <w:sz w:val="24"/>
          <w:szCs w:val="24"/>
        </w:rPr>
        <w:t>financingiem</w:t>
      </w:r>
      <w:proofErr w:type="spellEnd"/>
      <w:r w:rsidRPr="009B2F73">
        <w:rPr>
          <w:rFonts w:ascii="Arial" w:hAnsi="Arial" w:cs="Arial"/>
          <w:b/>
          <w:bCs/>
          <w:sz w:val="24"/>
          <w:szCs w:val="24"/>
        </w:rPr>
        <w:t>.</w:t>
      </w:r>
      <w:r w:rsidRPr="00DC5717">
        <w:rPr>
          <w:rFonts w:ascii="Arial" w:hAnsi="Arial" w:cs="Arial"/>
          <w:sz w:val="24"/>
          <w:szCs w:val="24"/>
        </w:rPr>
        <w:t xml:space="preserve"> Zakup mebli, sprzętu i pojazdów niespełniający żadnego z warunków wskazanych w </w:t>
      </w:r>
      <w:proofErr w:type="spellStart"/>
      <w:r w:rsidRPr="00DC5717">
        <w:rPr>
          <w:rFonts w:ascii="Arial" w:hAnsi="Arial" w:cs="Arial"/>
          <w:sz w:val="24"/>
          <w:szCs w:val="24"/>
        </w:rPr>
        <w:t>tirecie</w:t>
      </w:r>
      <w:proofErr w:type="spellEnd"/>
      <w:r w:rsidRPr="00DC5717">
        <w:rPr>
          <w:rFonts w:ascii="Arial" w:hAnsi="Arial" w:cs="Arial"/>
          <w:sz w:val="24"/>
          <w:szCs w:val="24"/>
        </w:rPr>
        <w:t xml:space="preserve"> i-iii stanowi cross-</w:t>
      </w:r>
      <w:proofErr w:type="spellStart"/>
      <w:r w:rsidRPr="00DC5717">
        <w:rPr>
          <w:rFonts w:ascii="Arial" w:hAnsi="Arial" w:cs="Arial"/>
          <w:sz w:val="24"/>
          <w:szCs w:val="24"/>
        </w:rPr>
        <w:t>financing</w:t>
      </w:r>
      <w:proofErr w:type="spellEnd"/>
      <w:r w:rsidRPr="00DC5717">
        <w:rPr>
          <w:rFonts w:ascii="Arial" w:hAnsi="Arial" w:cs="Arial"/>
          <w:sz w:val="24"/>
          <w:szCs w:val="24"/>
        </w:rPr>
        <w:t>.</w:t>
      </w:r>
    </w:p>
    <w:p w14:paraId="33C01D06" w14:textId="281D57B3" w:rsidR="007B28A5" w:rsidRDefault="007842F4" w:rsidP="00B5306F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4448E4" w:rsidRPr="004448E4">
        <w:rPr>
          <w:rFonts w:ascii="Arial" w:hAnsi="Arial" w:cs="Arial"/>
          <w:sz w:val="24"/>
          <w:szCs w:val="24"/>
        </w:rPr>
        <w:t xml:space="preserve">Maksymalny dopuszczalny poziom cross-financingu w projekcie </w:t>
      </w:r>
      <w:r w:rsidR="004448E4" w:rsidRPr="00DF42F9">
        <w:rPr>
          <w:rFonts w:ascii="Arial" w:hAnsi="Arial" w:cs="Arial"/>
          <w:sz w:val="24"/>
          <w:szCs w:val="24"/>
        </w:rPr>
        <w:t>wynosi</w:t>
      </w:r>
      <w:r w:rsidR="007B28A5">
        <w:rPr>
          <w:rFonts w:ascii="Arial" w:hAnsi="Arial" w:cs="Arial"/>
          <w:sz w:val="24"/>
          <w:szCs w:val="24"/>
        </w:rPr>
        <w:t>:</w:t>
      </w:r>
    </w:p>
    <w:p w14:paraId="4D47D694" w14:textId="77777777" w:rsidR="007B28A5" w:rsidRDefault="007B28A5" w:rsidP="00B5306F">
      <w:pPr>
        <w:pStyle w:val="Akapitzlist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4065B">
        <w:rPr>
          <w:rFonts w:ascii="Arial" w:hAnsi="Arial" w:cs="Arial"/>
          <w:sz w:val="24"/>
          <w:szCs w:val="24"/>
        </w:rPr>
        <w:t xml:space="preserve">20% wartości projektu, w przypadku projektów polegających na utworzeniu nowego </w:t>
      </w:r>
      <w:r>
        <w:rPr>
          <w:rFonts w:ascii="Arial" w:hAnsi="Arial" w:cs="Arial"/>
          <w:sz w:val="24"/>
          <w:szCs w:val="24"/>
        </w:rPr>
        <w:t>DDP</w:t>
      </w:r>
      <w:r w:rsidRPr="00F4065B">
        <w:rPr>
          <w:rFonts w:ascii="Arial" w:hAnsi="Arial" w:cs="Arial"/>
          <w:sz w:val="24"/>
          <w:szCs w:val="24"/>
        </w:rPr>
        <w:t>,</w:t>
      </w:r>
    </w:p>
    <w:p w14:paraId="74E677AA" w14:textId="0D37FB5C" w:rsidR="004448E4" w:rsidRPr="007B28A5" w:rsidRDefault="007B28A5" w:rsidP="00B5306F">
      <w:pPr>
        <w:pStyle w:val="Akapitzlist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B28A5">
        <w:rPr>
          <w:rFonts w:ascii="Arial" w:hAnsi="Arial" w:cs="Arial"/>
          <w:sz w:val="24"/>
          <w:szCs w:val="24"/>
        </w:rPr>
        <w:t>10% wartości projektu, w przypadku pozostałych projektów</w:t>
      </w:r>
      <w:r>
        <w:rPr>
          <w:rFonts w:ascii="Arial" w:hAnsi="Arial" w:cs="Arial"/>
          <w:sz w:val="24"/>
          <w:szCs w:val="24"/>
        </w:rPr>
        <w:t>.</w:t>
      </w:r>
    </w:p>
    <w:p w14:paraId="4DB58969" w14:textId="04E44328" w:rsidR="00D75E84" w:rsidRPr="00D75E84" w:rsidRDefault="007842F4" w:rsidP="00B5306F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D75E84">
        <w:rPr>
          <w:rFonts w:ascii="Arial" w:hAnsi="Arial" w:cs="Arial"/>
          <w:sz w:val="24"/>
          <w:szCs w:val="24"/>
        </w:rPr>
        <w:t>K</w:t>
      </w:r>
      <w:r w:rsidR="00D75E84" w:rsidRPr="00D75E84">
        <w:rPr>
          <w:rFonts w:ascii="Arial" w:hAnsi="Arial" w:cs="Arial"/>
          <w:sz w:val="24"/>
          <w:szCs w:val="24"/>
        </w:rPr>
        <w:t>ażdy projekt jest weryfikowany również pod kątem zgodności z kryterium dot. kwalifikowalności wydatków, w ramach którego weryfikowane jest m.in. czy wydatki wskazane w projekcie są zgodne z zasadami określonymi w Wytycznych dotyczących kwalifikowalności wydatków 2021-2027. Z warunków określonych w przywołanych Wytycznych, w Podrozdziale 2.3. Wydatki niekwalifikowalne, wynika natomiast, że:</w:t>
      </w:r>
    </w:p>
    <w:p w14:paraId="486557FC" w14:textId="1EAF59AD" w:rsidR="00D75E84" w:rsidRPr="00D75E84" w:rsidRDefault="00D75E84" w:rsidP="00B5306F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„Wydatkami niekwalifikowalnymi są wydatki wskazane w art. 64 rozporządzenia ogólnego, art. 7 ust. 1 i 5 rozporządzenia EFRR </w:t>
      </w:r>
      <w:r w:rsidR="00977F20"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i FS, (…)”</w:t>
      </w:r>
    </w:p>
    <w:p w14:paraId="72ED4C64" w14:textId="77777777" w:rsidR="00D75E84" w:rsidRPr="00D75E84" w:rsidRDefault="00D75E84" w:rsidP="00B5306F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lastRenderedPageBreak/>
        <w:t>Z kolei art. 7 rozporządzenia EFRR, do którego odwołują się Wytyczne stanowi o tym, że:</w:t>
      </w:r>
    </w:p>
    <w:p w14:paraId="14987D1C" w14:textId="2AEF5BE8" w:rsidR="00D75E84" w:rsidRPr="00D75E84" w:rsidRDefault="00D75E84" w:rsidP="00B5306F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„Wsparcia z EFRR i Funduszu Spójności nie udziela się</w:t>
      </w:r>
      <w:r w:rsidR="009B2F73">
        <w:rPr>
          <w:rFonts w:ascii="Arial" w:hAnsi="Arial" w:cs="Arial"/>
          <w:sz w:val="24"/>
          <w:szCs w:val="24"/>
        </w:rPr>
        <w:t xml:space="preserve"> na (…)</w:t>
      </w:r>
      <w:r w:rsidRPr="00D75E84">
        <w:rPr>
          <w:rFonts w:ascii="Arial" w:hAnsi="Arial" w:cs="Arial"/>
          <w:sz w:val="24"/>
          <w:szCs w:val="24"/>
        </w:rPr>
        <w:t>:</w:t>
      </w:r>
    </w:p>
    <w:p w14:paraId="7710338A" w14:textId="1241D21B" w:rsidR="00D75E84" w:rsidRPr="00D75E84" w:rsidRDefault="00D75E84" w:rsidP="00B5306F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h) inwestycje w zakresie produkcji, przetwarzania, transportu, dystrybucji, magazynowania lub spalania paliw kopalnych, </w:t>
      </w:r>
      <w:r w:rsidR="00977F20"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z wyjątkiem:</w:t>
      </w:r>
    </w:p>
    <w:p w14:paraId="439635EF" w14:textId="77777777" w:rsidR="00D75E84" w:rsidRPr="00D75E84" w:rsidRDefault="00D75E84" w:rsidP="00B5306F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(i) wymiany systemów ciepłowniczych zasilanych stałymi paliwami kopalnymi, tj. węglem kamiennym, torfem, węglem brunatnym, łupkami bitumicznymi, na systemy grzewcze zasilane gazem ziemnym w celu: </w:t>
      </w:r>
    </w:p>
    <w:p w14:paraId="749FF4F4" w14:textId="6B67745D" w:rsidR="00D75E84" w:rsidRPr="00D75E84" w:rsidRDefault="00D75E84" w:rsidP="00B5306F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- modernizacji systemów ciepłowniczych i chłodniczych do stanu „efektywnego systemu ciepłowniczego i chłodniczego”, zdefiniowanego w art. 2 pkt 41 dyrektywy 2012/27/UE, </w:t>
      </w:r>
    </w:p>
    <w:p w14:paraId="37851A65" w14:textId="72269D0B" w:rsidR="00D75E84" w:rsidRPr="00D75E84" w:rsidRDefault="00D75E84" w:rsidP="00B5306F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modernizacji elektrociepłowni do stanu „wysokosprawnej kogeneracji”, zdefiniowanej w art. 2 pkt 34 dyrektywy 2012/27/UE,</w:t>
      </w:r>
    </w:p>
    <w:p w14:paraId="085261F2" w14:textId="429F7941" w:rsidR="00D75E84" w:rsidRPr="00D75E84" w:rsidRDefault="00D75E84" w:rsidP="00B5306F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inwestycji w wymianę instalacji zasilanych węglem kamiennym, torfem, węglem brunatnym lub łupkami bitumicznymi, na kotły i systemy ciepłownicze zasilane gazem ziemnym w budynkach mieszkalnych i niemieszkalnych</w:t>
      </w:r>
      <w:r w:rsidR="009B2F73">
        <w:rPr>
          <w:rFonts w:ascii="Arial" w:hAnsi="Arial" w:cs="Arial"/>
          <w:sz w:val="24"/>
          <w:szCs w:val="24"/>
        </w:rPr>
        <w:t xml:space="preserve"> (…)”. </w:t>
      </w:r>
    </w:p>
    <w:p w14:paraId="7B6A4005" w14:textId="77777777" w:rsidR="00D75E84" w:rsidRPr="00D75E84" w:rsidRDefault="00D75E84" w:rsidP="00B5306F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Jednocześnie w ust. 4 przywołanego powyżej art. 7 jest mowa o tym, że:</w:t>
      </w:r>
    </w:p>
    <w:p w14:paraId="36270231" w14:textId="5EEA44D7" w:rsidR="00D75E84" w:rsidRPr="00D75E84" w:rsidRDefault="00D75E84" w:rsidP="00B5306F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„Operacje wspierane z EFRR i Funduszu Spójności na podstawie ust. 1 lit. h) </w:t>
      </w:r>
      <w:proofErr w:type="spellStart"/>
      <w:r w:rsidRPr="00D75E84">
        <w:rPr>
          <w:rFonts w:ascii="Arial" w:hAnsi="Arial" w:cs="Arial"/>
          <w:sz w:val="24"/>
          <w:szCs w:val="24"/>
        </w:rPr>
        <w:t>ppkt</w:t>
      </w:r>
      <w:proofErr w:type="spellEnd"/>
      <w:r w:rsidRPr="00D75E84">
        <w:rPr>
          <w:rFonts w:ascii="Arial" w:hAnsi="Arial" w:cs="Arial"/>
          <w:sz w:val="24"/>
          <w:szCs w:val="24"/>
        </w:rPr>
        <w:t xml:space="preserve"> (i) oraz (ii) wybierane są przez instytucję zarządzającą do dnia 31 grudnia 2025 r. Operacje takie nie mogą być kontynuowane w kolejnym okresie programowania”.</w:t>
      </w:r>
    </w:p>
    <w:p w14:paraId="180B8236" w14:textId="3951DAB5" w:rsidR="008530B6" w:rsidRDefault="00D75E84" w:rsidP="00B5306F">
      <w:pPr>
        <w:autoSpaceDE w:val="0"/>
        <w:autoSpaceDN w:val="0"/>
        <w:adjustRightInd w:val="0"/>
        <w:spacing w:beforeLines="60" w:before="144" w:afterLines="120" w:after="288"/>
        <w:rPr>
          <w:rFonts w:ascii="Arial" w:hAnsi="Arial" w:cs="Arial"/>
          <w:b/>
          <w:bCs/>
          <w:color w:val="0070C0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W związku z powyższym</w:t>
      </w:r>
      <w:r w:rsidR="009B2F73">
        <w:rPr>
          <w:rFonts w:ascii="Arial" w:hAnsi="Arial" w:cs="Arial"/>
          <w:sz w:val="24"/>
          <w:szCs w:val="24"/>
        </w:rPr>
        <w:t>,</w:t>
      </w:r>
      <w:r w:rsidRPr="00D75E84">
        <w:rPr>
          <w:rFonts w:ascii="Arial" w:hAnsi="Arial" w:cs="Arial"/>
          <w:sz w:val="24"/>
          <w:szCs w:val="24"/>
        </w:rPr>
        <w:t xml:space="preserve"> w przypadku wystąpienia w projekcie wydatków w ramach cross-financingu związanych z wymianą źródła ciepła na nowe, zasilane gazem ziemnym, mogą być one uznane za kwalifikowalne z zastrzeżeniem, że umowa o dofinansowanie projektu podpisana zostanie najpóźniej do 31 grudnia 2025 r.</w:t>
      </w:r>
      <w:r w:rsidR="007842F4">
        <w:rPr>
          <w:rFonts w:ascii="Arial" w:hAnsi="Arial" w:cs="Arial"/>
          <w:sz w:val="24"/>
          <w:szCs w:val="24"/>
        </w:rPr>
        <w:br/>
      </w:r>
      <w:r w:rsidR="007842F4">
        <w:rPr>
          <w:rFonts w:ascii="Arial" w:hAnsi="Arial" w:cs="Arial"/>
          <w:sz w:val="24"/>
          <w:szCs w:val="24"/>
        </w:rPr>
        <w:br/>
      </w:r>
      <w:r w:rsidR="008530B6">
        <w:rPr>
          <w:rFonts w:ascii="Arial" w:hAnsi="Arial" w:cs="Arial"/>
          <w:b/>
          <w:bCs/>
          <w:color w:val="0070C0"/>
          <w:sz w:val="24"/>
          <w:szCs w:val="24"/>
        </w:rPr>
        <w:t>Inne istotne informacje</w:t>
      </w:r>
    </w:p>
    <w:p w14:paraId="0C8F19ED" w14:textId="54B98BF5" w:rsidR="008530B6" w:rsidRPr="006D2370" w:rsidRDefault="008530B6" w:rsidP="00B530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Przy konstruowaniu budżetu projektu oraz na etapie rozliczenia wydatków powinieneś </w:t>
      </w:r>
      <w:r w:rsidRPr="00454F73">
        <w:rPr>
          <w:rFonts w:ascii="Arial" w:hAnsi="Arial" w:cs="Arial"/>
          <w:color w:val="000000"/>
          <w:sz w:val="24"/>
          <w:szCs w:val="24"/>
        </w:rPr>
        <w:t xml:space="preserve">stosować się do zasad wynikających </w:t>
      </w:r>
      <w:r w:rsidR="00977F20" w:rsidRPr="00454F73">
        <w:rPr>
          <w:rFonts w:ascii="Arial" w:hAnsi="Arial" w:cs="Arial"/>
          <w:color w:val="000000"/>
          <w:sz w:val="24"/>
          <w:szCs w:val="24"/>
        </w:rPr>
        <w:br/>
      </w:r>
      <w:r w:rsidRPr="00454F73">
        <w:rPr>
          <w:rFonts w:ascii="Arial" w:hAnsi="Arial" w:cs="Arial"/>
          <w:color w:val="000000"/>
          <w:sz w:val="24"/>
          <w:szCs w:val="24"/>
        </w:rPr>
        <w:t xml:space="preserve">z </w:t>
      </w:r>
      <w:r w:rsidRPr="00454F73">
        <w:rPr>
          <w:rFonts w:ascii="Arial" w:hAnsi="Arial" w:cs="Arial"/>
          <w:sz w:val="24"/>
          <w:szCs w:val="24"/>
        </w:rPr>
        <w:t xml:space="preserve">kryteriów przyjętych uchwałą nr </w:t>
      </w:r>
      <w:r w:rsidR="00454F73" w:rsidRPr="00454F73">
        <w:rPr>
          <w:rFonts w:ascii="Arial" w:hAnsi="Arial" w:cs="Arial"/>
          <w:bCs/>
          <w:sz w:val="24"/>
          <w:szCs w:val="24"/>
        </w:rPr>
        <w:t>106/2024</w:t>
      </w:r>
      <w:r w:rsidR="00454F73" w:rsidRPr="00454F73">
        <w:rPr>
          <w:rFonts w:ascii="Arial" w:hAnsi="Arial" w:cs="Arial"/>
          <w:bCs/>
          <w:sz w:val="24"/>
          <w:szCs w:val="24"/>
        </w:rPr>
        <w:t xml:space="preserve"> </w:t>
      </w:r>
      <w:r w:rsidRPr="00454F73">
        <w:rPr>
          <w:rFonts w:ascii="Arial" w:hAnsi="Arial" w:cs="Arial"/>
          <w:sz w:val="24"/>
          <w:szCs w:val="24"/>
        </w:rPr>
        <w:t xml:space="preserve">przez Komitet Monitorujący </w:t>
      </w:r>
      <w:proofErr w:type="spellStart"/>
      <w:r w:rsidRPr="00454F73">
        <w:rPr>
          <w:rFonts w:ascii="Arial" w:hAnsi="Arial" w:cs="Arial"/>
          <w:sz w:val="24"/>
          <w:szCs w:val="24"/>
        </w:rPr>
        <w:t>FEdKP</w:t>
      </w:r>
      <w:proofErr w:type="spellEnd"/>
      <w:r w:rsidRPr="00454F73">
        <w:rPr>
          <w:rFonts w:ascii="Arial" w:hAnsi="Arial" w:cs="Arial"/>
          <w:sz w:val="24"/>
          <w:szCs w:val="24"/>
        </w:rPr>
        <w:t xml:space="preserve"> w dniu </w:t>
      </w:r>
      <w:r w:rsidR="00454F73" w:rsidRPr="00454F73">
        <w:rPr>
          <w:rFonts w:ascii="Arial" w:hAnsi="Arial" w:cs="Arial"/>
          <w:sz w:val="24"/>
          <w:szCs w:val="24"/>
        </w:rPr>
        <w:t>17</w:t>
      </w:r>
      <w:r w:rsidRPr="00454F73">
        <w:rPr>
          <w:rFonts w:ascii="Arial" w:hAnsi="Arial" w:cs="Arial"/>
          <w:sz w:val="24"/>
          <w:szCs w:val="24"/>
        </w:rPr>
        <w:t xml:space="preserve"> </w:t>
      </w:r>
      <w:r w:rsidR="00EF337B" w:rsidRPr="00454F73">
        <w:rPr>
          <w:rFonts w:ascii="Arial" w:hAnsi="Arial" w:cs="Arial"/>
          <w:sz w:val="24"/>
          <w:szCs w:val="24"/>
        </w:rPr>
        <w:t>października</w:t>
      </w:r>
      <w:r w:rsidRPr="00454F73">
        <w:rPr>
          <w:rFonts w:ascii="Arial" w:hAnsi="Arial" w:cs="Arial"/>
          <w:sz w:val="24"/>
          <w:szCs w:val="24"/>
        </w:rPr>
        <w:t xml:space="preserve"> 2024 r. oraz zapisów Wytycznych, w tym:</w:t>
      </w:r>
    </w:p>
    <w:p w14:paraId="55A6174C" w14:textId="1B7F1388" w:rsidR="00FC6ED5" w:rsidRPr="006D2370" w:rsidRDefault="00213C94" w:rsidP="00B5306F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6D2370">
        <w:rPr>
          <w:rFonts w:ascii="Arial" w:hAnsi="Arial" w:cs="Arial"/>
          <w:sz w:val="24"/>
          <w:szCs w:val="24"/>
        </w:rPr>
        <w:t>Maksymalna wartość dofinansowania projektu nie przekracza kwoty przeznaczonej na dofinansowanie projektów w naborze.</w:t>
      </w:r>
    </w:p>
    <w:p w14:paraId="79C04BA9" w14:textId="471CD31A" w:rsidR="00BC67EE" w:rsidRPr="006D2370" w:rsidRDefault="00BC67EE" w:rsidP="00B5306F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6D2370">
        <w:rPr>
          <w:rFonts w:ascii="Arial" w:hAnsi="Arial" w:cs="Arial"/>
          <w:sz w:val="24"/>
          <w:szCs w:val="24"/>
        </w:rPr>
        <w:lastRenderedPageBreak/>
        <w:t xml:space="preserve">Działania związane z organizacją, koordynacją zaplanowanych w projekcie form wsparcia </w:t>
      </w:r>
      <w:r w:rsidR="00A94933" w:rsidRPr="006D2370">
        <w:rPr>
          <w:rFonts w:ascii="Arial" w:hAnsi="Arial" w:cs="Arial"/>
          <w:sz w:val="24"/>
          <w:szCs w:val="24"/>
        </w:rPr>
        <w:t>stanowią</w:t>
      </w:r>
      <w:r w:rsidRPr="006D2370">
        <w:rPr>
          <w:rFonts w:ascii="Arial" w:hAnsi="Arial" w:cs="Arial"/>
          <w:sz w:val="24"/>
          <w:szCs w:val="24"/>
        </w:rPr>
        <w:t xml:space="preserve"> koszt</w:t>
      </w:r>
      <w:r w:rsidR="00A94933" w:rsidRPr="006D2370">
        <w:rPr>
          <w:rFonts w:ascii="Arial" w:hAnsi="Arial" w:cs="Arial"/>
          <w:sz w:val="24"/>
          <w:szCs w:val="24"/>
        </w:rPr>
        <w:t>y</w:t>
      </w:r>
      <w:r w:rsidRPr="006D2370">
        <w:rPr>
          <w:rFonts w:ascii="Arial" w:hAnsi="Arial" w:cs="Arial"/>
          <w:sz w:val="24"/>
          <w:szCs w:val="24"/>
        </w:rPr>
        <w:t xml:space="preserve"> pośredni</w:t>
      </w:r>
      <w:r w:rsidR="00A94933" w:rsidRPr="006D2370">
        <w:rPr>
          <w:rFonts w:ascii="Arial" w:hAnsi="Arial" w:cs="Arial"/>
          <w:sz w:val="24"/>
          <w:szCs w:val="24"/>
        </w:rPr>
        <w:t>e</w:t>
      </w:r>
      <w:r w:rsidRPr="006D2370">
        <w:rPr>
          <w:rFonts w:ascii="Arial" w:hAnsi="Arial" w:cs="Arial"/>
          <w:sz w:val="24"/>
          <w:szCs w:val="24"/>
        </w:rPr>
        <w:t xml:space="preserve"> projektu</w:t>
      </w:r>
      <w:r w:rsidR="006D2370">
        <w:t xml:space="preserve">, </w:t>
      </w:r>
      <w:r w:rsidR="00213C94" w:rsidRPr="006D2370">
        <w:rPr>
          <w:rFonts w:ascii="Arial" w:hAnsi="Arial" w:cs="Arial"/>
          <w:sz w:val="24"/>
          <w:szCs w:val="24"/>
        </w:rPr>
        <w:t>np. koszt wynagrodzenia organizatora usług opiekuńczych nie może zostać wykazany w ramach kosztów bezpośrednich projektu.</w:t>
      </w:r>
    </w:p>
    <w:p w14:paraId="078A3152" w14:textId="77777777" w:rsidR="00FC6ED5" w:rsidRPr="006D2370" w:rsidRDefault="00F62B20" w:rsidP="00B5306F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6D2370">
        <w:rPr>
          <w:rFonts w:ascii="Arial" w:hAnsi="Arial" w:cs="Arial"/>
          <w:sz w:val="24"/>
          <w:szCs w:val="24"/>
        </w:rPr>
        <w:t>Jedyną dopuszczalną uproszczoną metodą rozliczania wydatków w projekcie jest stawka ryczałtowa na koszty pośrednie.</w:t>
      </w:r>
    </w:p>
    <w:p w14:paraId="7D18BEE8" w14:textId="2E0817EA" w:rsidR="00F62B20" w:rsidRPr="00FC6ED5" w:rsidRDefault="00F62B20" w:rsidP="00B5306F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6D2370">
        <w:rPr>
          <w:rFonts w:ascii="Arial" w:hAnsi="Arial" w:cs="Arial"/>
          <w:sz w:val="24"/>
          <w:szCs w:val="24"/>
          <w14:ligatures w14:val="standardContextual"/>
        </w:rPr>
        <w:t>Koszty pośrednie należy rozliczać</w:t>
      </w:r>
      <w:r w:rsidRPr="00FC6ED5">
        <w:rPr>
          <w:rFonts w:ascii="Arial" w:hAnsi="Arial" w:cs="Arial"/>
          <w:sz w:val="24"/>
          <w:szCs w:val="24"/>
          <w14:ligatures w14:val="standardContextual"/>
        </w:rPr>
        <w:t xml:space="preserve"> wyłącznie z wykorzystaniem stawek ryczałtowych określonych w Wytycznych i nie możesz przyjąć innej stawki ryczałtowej niż wynikająca z Wytycznych.</w:t>
      </w:r>
    </w:p>
    <w:p w14:paraId="70EB904B" w14:textId="2A6224F1" w:rsidR="008530B6" w:rsidRPr="001403D3" w:rsidRDefault="008530B6" w:rsidP="00B5306F">
      <w:pPr>
        <w:pStyle w:val="Akapitzlist"/>
        <w:autoSpaceDE w:val="0"/>
        <w:autoSpaceDN w:val="0"/>
        <w:adjustRightInd w:val="0"/>
        <w:rPr>
          <w:rFonts w:ascii="Arial" w:hAnsi="Arial" w:cs="Arial"/>
          <w:sz w:val="24"/>
          <w:szCs w:val="24"/>
          <w14:ligatures w14:val="standardContextual"/>
        </w:rPr>
      </w:pPr>
    </w:p>
    <w:sectPr w:rsidR="008530B6" w:rsidRPr="001403D3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5E4BA" w14:textId="77777777" w:rsidR="00033248" w:rsidRDefault="00033248" w:rsidP="00B45E80">
      <w:pPr>
        <w:spacing w:after="0" w:line="240" w:lineRule="auto"/>
      </w:pPr>
      <w:r>
        <w:separator/>
      </w:r>
    </w:p>
  </w:endnote>
  <w:endnote w:type="continuationSeparator" w:id="0">
    <w:p w14:paraId="64CB18B8" w14:textId="77777777" w:rsidR="00033248" w:rsidRDefault="00033248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1B514" w14:textId="77777777" w:rsidR="00033248" w:rsidRDefault="00033248" w:rsidP="00B45E80">
      <w:pPr>
        <w:spacing w:after="0" w:line="240" w:lineRule="auto"/>
      </w:pPr>
      <w:r>
        <w:separator/>
      </w:r>
    </w:p>
  </w:footnote>
  <w:footnote w:type="continuationSeparator" w:id="0">
    <w:p w14:paraId="75336F08" w14:textId="77777777" w:rsidR="00033248" w:rsidRDefault="00033248" w:rsidP="00B45E80">
      <w:pPr>
        <w:spacing w:after="0" w:line="240" w:lineRule="auto"/>
      </w:pPr>
      <w:r>
        <w:continuationSeparator/>
      </w:r>
    </w:p>
  </w:footnote>
  <w:footnote w:id="1">
    <w:p w14:paraId="5730C915" w14:textId="414D9C8E" w:rsidR="0058435E" w:rsidRPr="0058435E" w:rsidRDefault="0058435E">
      <w:pPr>
        <w:pStyle w:val="Tekstprzypisudolnego"/>
        <w:rPr>
          <w:rFonts w:ascii="Arial" w:hAnsi="Arial" w:cs="Arial"/>
          <w:sz w:val="24"/>
          <w:szCs w:val="24"/>
        </w:rPr>
      </w:pPr>
      <w:r w:rsidRPr="005843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435E">
        <w:rPr>
          <w:rFonts w:ascii="Arial" w:hAnsi="Arial" w:cs="Arial"/>
          <w:sz w:val="24"/>
          <w:szCs w:val="24"/>
        </w:rPr>
        <w:t xml:space="preserve"> Zaprezentowane rodzaje kosztów i przyjęte stawki są przykładowe.</w:t>
      </w:r>
    </w:p>
  </w:footnote>
  <w:footnote w:id="2">
    <w:p w14:paraId="614910C1" w14:textId="4B149B59" w:rsidR="0065398C" w:rsidRPr="0065398C" w:rsidRDefault="007B5D5A" w:rsidP="0065398C">
      <w:pPr>
        <w:pStyle w:val="Default"/>
        <w:rPr>
          <w:rFonts w:ascii="Arial" w:hAnsi="Arial" w:cs="Arial"/>
          <w:color w:val="auto"/>
          <w14:ligatures w14:val="standardContextual"/>
        </w:rPr>
      </w:pPr>
      <w:r w:rsidRPr="007B5D5A">
        <w:rPr>
          <w:rStyle w:val="Odwoanieprzypisudolnego"/>
          <w:rFonts w:ascii="Arial" w:hAnsi="Arial" w:cs="Arial"/>
        </w:rPr>
        <w:footnoteRef/>
      </w:r>
      <w:r w:rsidRPr="007B5D5A">
        <w:rPr>
          <w:rFonts w:ascii="Arial" w:hAnsi="Arial" w:cs="Arial"/>
        </w:rPr>
        <w:t xml:space="preserve"> </w:t>
      </w:r>
      <w:r w:rsidR="0065398C" w:rsidRPr="0065398C">
        <w:rPr>
          <w:rFonts w:ascii="Arial" w:hAnsi="Arial" w:cs="Arial"/>
          <w:sz w:val="22"/>
          <w:szCs w:val="22"/>
          <w14:ligatures w14:val="standardContextual"/>
        </w:rPr>
        <w:t xml:space="preserve">Zgodnie ze stanowiskiem Komisji Europejskiej do limitu cross-financingu w projektach EFS+ należy wliczyć sumę kosztów bezpośrednich, oznaczonych jako koszty mieszczące się w limicie cross-financingu oraz naliczonych od nich, zgodnie z przyjętą stawką ryczałtową, kosztów pośrednich. W systemie SOWA EFS w budżecie projektu przy zadaniu „Koszty pośrednie” została dodana funkcjonalność, umożliwiająca prawidłowe wyliczenie limitu cross-financingu wynikającego z przekazanego przez </w:t>
      </w:r>
      <w:r w:rsidR="0065398C" w:rsidRPr="0065398C">
        <w:rPr>
          <w:rFonts w:ascii="Arial" w:hAnsi="Arial" w:cs="Arial"/>
          <w:sz w:val="22"/>
          <w:szCs w:val="22"/>
          <w14:ligatures w14:val="standardContextual"/>
        </w:rPr>
        <w:t xml:space="preserve">MFiPR stanowiska Komisji Europejskiej, tj. przy zadaniu „Koszty pośrednie” wnioskodawca ma możliwość dodania kolejnej pozycji budżetowej, w której wyliczona będzie wartość kosztów pośrednich od wartości wydatków przypisanych do limitu „cross-financing”. </w:t>
      </w:r>
    </w:p>
    <w:p w14:paraId="0E3F4B69" w14:textId="19C87EF1" w:rsidR="007B5D5A" w:rsidRPr="007B5D5A" w:rsidRDefault="007B5D5A">
      <w:pPr>
        <w:pStyle w:val="Tekstprzypisudolnego"/>
        <w:rPr>
          <w:rFonts w:ascii="Arial" w:hAnsi="Arial" w:cs="Arial"/>
          <w:sz w:val="24"/>
          <w:szCs w:val="24"/>
        </w:rPr>
      </w:pPr>
    </w:p>
  </w:footnote>
  <w:footnote w:id="3">
    <w:p w14:paraId="50C97E2A" w14:textId="36F65AC7" w:rsidR="00D70F64" w:rsidRDefault="00D70F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06F81">
        <w:rPr>
          <w:rFonts w:ascii="Arial" w:hAnsi="Arial" w:cs="Arial"/>
          <w:sz w:val="22"/>
          <w:szCs w:val="22"/>
        </w:rPr>
        <w:t>Stawki określone w niniejszym załączniku stanowią wyłącznie przykład, do wnioskodawcy należy każdorazowo oszacowanie i uzasadnienie przyjętej wartości pozycji budżetowej.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4AD96214">
          <wp:extent cx="5761355" cy="536575"/>
          <wp:effectExtent l="0" t="0" r="0" b="0"/>
          <wp:docPr id="749455402" name="Obraz 2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455402" name="Obraz 2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54A2"/>
    <w:multiLevelType w:val="hybridMultilevel"/>
    <w:tmpl w:val="BC280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91FD1"/>
    <w:multiLevelType w:val="hybridMultilevel"/>
    <w:tmpl w:val="1AF483FE"/>
    <w:lvl w:ilvl="0" w:tplc="343EBDF6">
      <w:start w:val="202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B170B"/>
    <w:multiLevelType w:val="hybridMultilevel"/>
    <w:tmpl w:val="B4326768"/>
    <w:lvl w:ilvl="0" w:tplc="681A47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07DEE"/>
    <w:multiLevelType w:val="hybridMultilevel"/>
    <w:tmpl w:val="BC280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C7502"/>
    <w:multiLevelType w:val="hybridMultilevel"/>
    <w:tmpl w:val="C6926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96945"/>
    <w:multiLevelType w:val="hybridMultilevel"/>
    <w:tmpl w:val="9CCCB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47B2F"/>
    <w:multiLevelType w:val="hybridMultilevel"/>
    <w:tmpl w:val="7D8E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17743"/>
    <w:multiLevelType w:val="hybridMultilevel"/>
    <w:tmpl w:val="5308F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E55AD"/>
    <w:multiLevelType w:val="hybridMultilevel"/>
    <w:tmpl w:val="2AC05A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D3769"/>
    <w:multiLevelType w:val="hybridMultilevel"/>
    <w:tmpl w:val="47A26350"/>
    <w:lvl w:ilvl="0" w:tplc="53CE6F5A">
      <w:start w:val="202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A3E0C"/>
    <w:multiLevelType w:val="hybridMultilevel"/>
    <w:tmpl w:val="2F02C59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7315D"/>
    <w:multiLevelType w:val="hybridMultilevel"/>
    <w:tmpl w:val="0316AF28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36380C"/>
    <w:multiLevelType w:val="hybridMultilevel"/>
    <w:tmpl w:val="D04EE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12A00"/>
    <w:multiLevelType w:val="hybridMultilevel"/>
    <w:tmpl w:val="1346B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13277"/>
    <w:multiLevelType w:val="hybridMultilevel"/>
    <w:tmpl w:val="80C0E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6"/>
  </w:num>
  <w:num w:numId="3" w16cid:durableId="751632434">
    <w:abstractNumId w:val="14"/>
  </w:num>
  <w:num w:numId="4" w16cid:durableId="18194139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8533754">
    <w:abstractNumId w:val="4"/>
  </w:num>
  <w:num w:numId="6" w16cid:durableId="426003459">
    <w:abstractNumId w:val="1"/>
  </w:num>
  <w:num w:numId="7" w16cid:durableId="1653288464">
    <w:abstractNumId w:val="5"/>
  </w:num>
  <w:num w:numId="8" w16cid:durableId="125895082">
    <w:abstractNumId w:val="3"/>
  </w:num>
  <w:num w:numId="9" w16cid:durableId="31417608">
    <w:abstractNumId w:val="7"/>
  </w:num>
  <w:num w:numId="10" w16cid:durableId="1728338333">
    <w:abstractNumId w:val="11"/>
  </w:num>
  <w:num w:numId="11" w16cid:durableId="198661970">
    <w:abstractNumId w:val="2"/>
  </w:num>
  <w:num w:numId="12" w16cid:durableId="958879555">
    <w:abstractNumId w:val="15"/>
  </w:num>
  <w:num w:numId="13" w16cid:durableId="884172398">
    <w:abstractNumId w:val="10"/>
  </w:num>
  <w:num w:numId="14" w16cid:durableId="1600210117">
    <w:abstractNumId w:val="16"/>
  </w:num>
  <w:num w:numId="15" w16cid:durableId="1729264907">
    <w:abstractNumId w:val="12"/>
  </w:num>
  <w:num w:numId="16" w16cid:durableId="2039432762">
    <w:abstractNumId w:val="13"/>
  </w:num>
  <w:num w:numId="17" w16cid:durableId="624580599">
    <w:abstractNumId w:val="17"/>
  </w:num>
  <w:num w:numId="18" w16cid:durableId="1742022299">
    <w:abstractNumId w:val="8"/>
  </w:num>
  <w:num w:numId="19" w16cid:durableId="10343787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20AAB"/>
    <w:rsid w:val="00024412"/>
    <w:rsid w:val="00025B5C"/>
    <w:rsid w:val="00030FA2"/>
    <w:rsid w:val="00033248"/>
    <w:rsid w:val="00035259"/>
    <w:rsid w:val="00046EA1"/>
    <w:rsid w:val="0005330D"/>
    <w:rsid w:val="00060CE1"/>
    <w:rsid w:val="00062A25"/>
    <w:rsid w:val="0006725D"/>
    <w:rsid w:val="000716B1"/>
    <w:rsid w:val="000748BC"/>
    <w:rsid w:val="00074FBE"/>
    <w:rsid w:val="00081358"/>
    <w:rsid w:val="00085366"/>
    <w:rsid w:val="000869CA"/>
    <w:rsid w:val="00087418"/>
    <w:rsid w:val="0008772D"/>
    <w:rsid w:val="000940E6"/>
    <w:rsid w:val="00094D95"/>
    <w:rsid w:val="00095C24"/>
    <w:rsid w:val="000A6C82"/>
    <w:rsid w:val="000B7C6E"/>
    <w:rsid w:val="000D3E86"/>
    <w:rsid w:val="000D3EA2"/>
    <w:rsid w:val="000D5839"/>
    <w:rsid w:val="000D5B60"/>
    <w:rsid w:val="000E3EB3"/>
    <w:rsid w:val="000F73D6"/>
    <w:rsid w:val="000F755B"/>
    <w:rsid w:val="00101CC7"/>
    <w:rsid w:val="00104043"/>
    <w:rsid w:val="00106D76"/>
    <w:rsid w:val="00115C2C"/>
    <w:rsid w:val="001262F8"/>
    <w:rsid w:val="00130734"/>
    <w:rsid w:val="00130CC1"/>
    <w:rsid w:val="0013179A"/>
    <w:rsid w:val="00132BD0"/>
    <w:rsid w:val="00136CD6"/>
    <w:rsid w:val="001370E2"/>
    <w:rsid w:val="00137D48"/>
    <w:rsid w:val="001403D3"/>
    <w:rsid w:val="00141426"/>
    <w:rsid w:val="00143DFF"/>
    <w:rsid w:val="0014768D"/>
    <w:rsid w:val="001510BE"/>
    <w:rsid w:val="001534EB"/>
    <w:rsid w:val="00155672"/>
    <w:rsid w:val="00162BAD"/>
    <w:rsid w:val="00165813"/>
    <w:rsid w:val="00165969"/>
    <w:rsid w:val="00170ACA"/>
    <w:rsid w:val="001727C7"/>
    <w:rsid w:val="00173CB1"/>
    <w:rsid w:val="00177DB9"/>
    <w:rsid w:val="00183493"/>
    <w:rsid w:val="00184964"/>
    <w:rsid w:val="001863EE"/>
    <w:rsid w:val="00191DDD"/>
    <w:rsid w:val="00197236"/>
    <w:rsid w:val="001A0682"/>
    <w:rsid w:val="001A1D98"/>
    <w:rsid w:val="001A2511"/>
    <w:rsid w:val="001B1042"/>
    <w:rsid w:val="001B4DD0"/>
    <w:rsid w:val="001B5CC8"/>
    <w:rsid w:val="001B7692"/>
    <w:rsid w:val="001B78CA"/>
    <w:rsid w:val="001C02A6"/>
    <w:rsid w:val="001C345E"/>
    <w:rsid w:val="001C69EA"/>
    <w:rsid w:val="001D0612"/>
    <w:rsid w:val="001D1FA5"/>
    <w:rsid w:val="001D68A1"/>
    <w:rsid w:val="001E5701"/>
    <w:rsid w:val="001E7079"/>
    <w:rsid w:val="001E79DC"/>
    <w:rsid w:val="001F403E"/>
    <w:rsid w:val="001F512B"/>
    <w:rsid w:val="002023FA"/>
    <w:rsid w:val="00205BF9"/>
    <w:rsid w:val="00213C94"/>
    <w:rsid w:val="002176E6"/>
    <w:rsid w:val="00217957"/>
    <w:rsid w:val="00220EB5"/>
    <w:rsid w:val="00225FED"/>
    <w:rsid w:val="002349D4"/>
    <w:rsid w:val="00235BF2"/>
    <w:rsid w:val="0024536F"/>
    <w:rsid w:val="00246E3F"/>
    <w:rsid w:val="00252089"/>
    <w:rsid w:val="002569FB"/>
    <w:rsid w:val="002659F4"/>
    <w:rsid w:val="002669D8"/>
    <w:rsid w:val="00270C0D"/>
    <w:rsid w:val="00277E31"/>
    <w:rsid w:val="00281854"/>
    <w:rsid w:val="00284598"/>
    <w:rsid w:val="00285A1A"/>
    <w:rsid w:val="00287EE8"/>
    <w:rsid w:val="00291093"/>
    <w:rsid w:val="002954A1"/>
    <w:rsid w:val="002A495B"/>
    <w:rsid w:val="002A70E6"/>
    <w:rsid w:val="002B2909"/>
    <w:rsid w:val="002B4F2C"/>
    <w:rsid w:val="002B5E44"/>
    <w:rsid w:val="002E1FEF"/>
    <w:rsid w:val="002E7757"/>
    <w:rsid w:val="002F1700"/>
    <w:rsid w:val="002F1BA6"/>
    <w:rsid w:val="002F47D7"/>
    <w:rsid w:val="002F4B78"/>
    <w:rsid w:val="0030014A"/>
    <w:rsid w:val="00306F81"/>
    <w:rsid w:val="003107D8"/>
    <w:rsid w:val="00310C85"/>
    <w:rsid w:val="00311DC9"/>
    <w:rsid w:val="00316625"/>
    <w:rsid w:val="00320490"/>
    <w:rsid w:val="003212C9"/>
    <w:rsid w:val="0032377A"/>
    <w:rsid w:val="003260BE"/>
    <w:rsid w:val="00337438"/>
    <w:rsid w:val="003434B8"/>
    <w:rsid w:val="003518D1"/>
    <w:rsid w:val="00352073"/>
    <w:rsid w:val="003523EF"/>
    <w:rsid w:val="003745E2"/>
    <w:rsid w:val="003817B6"/>
    <w:rsid w:val="0038631C"/>
    <w:rsid w:val="0038763F"/>
    <w:rsid w:val="00387FC3"/>
    <w:rsid w:val="0039149F"/>
    <w:rsid w:val="00393FCB"/>
    <w:rsid w:val="003960A6"/>
    <w:rsid w:val="003978F1"/>
    <w:rsid w:val="003A0FF8"/>
    <w:rsid w:val="003A4471"/>
    <w:rsid w:val="003A4DB3"/>
    <w:rsid w:val="003A53D8"/>
    <w:rsid w:val="003A6555"/>
    <w:rsid w:val="003B44AF"/>
    <w:rsid w:val="003B7307"/>
    <w:rsid w:val="003B7D96"/>
    <w:rsid w:val="003C3A35"/>
    <w:rsid w:val="003C528C"/>
    <w:rsid w:val="003C6C3B"/>
    <w:rsid w:val="003D1656"/>
    <w:rsid w:val="003D225B"/>
    <w:rsid w:val="003D27C4"/>
    <w:rsid w:val="003E28CA"/>
    <w:rsid w:val="003E497C"/>
    <w:rsid w:val="003E756F"/>
    <w:rsid w:val="003F14B0"/>
    <w:rsid w:val="003F17D1"/>
    <w:rsid w:val="003F3D9C"/>
    <w:rsid w:val="0040627D"/>
    <w:rsid w:val="004079F9"/>
    <w:rsid w:val="00414C93"/>
    <w:rsid w:val="00420D1C"/>
    <w:rsid w:val="0042151B"/>
    <w:rsid w:val="00427AA6"/>
    <w:rsid w:val="0043427C"/>
    <w:rsid w:val="00435DFF"/>
    <w:rsid w:val="004445D4"/>
    <w:rsid w:val="004448E4"/>
    <w:rsid w:val="00454298"/>
    <w:rsid w:val="00454F73"/>
    <w:rsid w:val="00455C98"/>
    <w:rsid w:val="00467088"/>
    <w:rsid w:val="00471B13"/>
    <w:rsid w:val="00471DD5"/>
    <w:rsid w:val="004735A8"/>
    <w:rsid w:val="00473A2F"/>
    <w:rsid w:val="00476900"/>
    <w:rsid w:val="00481288"/>
    <w:rsid w:val="0048266E"/>
    <w:rsid w:val="00483260"/>
    <w:rsid w:val="00485168"/>
    <w:rsid w:val="00485CB5"/>
    <w:rsid w:val="00491EC4"/>
    <w:rsid w:val="004966E5"/>
    <w:rsid w:val="004A43EA"/>
    <w:rsid w:val="004A4C25"/>
    <w:rsid w:val="004B4E91"/>
    <w:rsid w:val="004C66E2"/>
    <w:rsid w:val="004E1ACA"/>
    <w:rsid w:val="00501C76"/>
    <w:rsid w:val="005021ED"/>
    <w:rsid w:val="0050346D"/>
    <w:rsid w:val="00515028"/>
    <w:rsid w:val="00515A47"/>
    <w:rsid w:val="00515D56"/>
    <w:rsid w:val="0052127B"/>
    <w:rsid w:val="00522526"/>
    <w:rsid w:val="00533BA0"/>
    <w:rsid w:val="00533C8C"/>
    <w:rsid w:val="00542D82"/>
    <w:rsid w:val="00543C49"/>
    <w:rsid w:val="0054770C"/>
    <w:rsid w:val="00556E7B"/>
    <w:rsid w:val="00570BAD"/>
    <w:rsid w:val="00582110"/>
    <w:rsid w:val="00583322"/>
    <w:rsid w:val="0058435E"/>
    <w:rsid w:val="00587DE0"/>
    <w:rsid w:val="005929D8"/>
    <w:rsid w:val="00596D80"/>
    <w:rsid w:val="005A0A57"/>
    <w:rsid w:val="005A4183"/>
    <w:rsid w:val="005A711A"/>
    <w:rsid w:val="005B0AF6"/>
    <w:rsid w:val="005B1BBA"/>
    <w:rsid w:val="005B76F8"/>
    <w:rsid w:val="005D3F76"/>
    <w:rsid w:val="005D4650"/>
    <w:rsid w:val="005D6E06"/>
    <w:rsid w:val="005E307C"/>
    <w:rsid w:val="005E4771"/>
    <w:rsid w:val="00602A80"/>
    <w:rsid w:val="0060308B"/>
    <w:rsid w:val="00610E8A"/>
    <w:rsid w:val="00611263"/>
    <w:rsid w:val="00611672"/>
    <w:rsid w:val="00612D61"/>
    <w:rsid w:val="0062141A"/>
    <w:rsid w:val="00622A3C"/>
    <w:rsid w:val="00624A81"/>
    <w:rsid w:val="00627C10"/>
    <w:rsid w:val="0063325C"/>
    <w:rsid w:val="00634D4E"/>
    <w:rsid w:val="00646850"/>
    <w:rsid w:val="00646891"/>
    <w:rsid w:val="0064717A"/>
    <w:rsid w:val="00652E38"/>
    <w:rsid w:val="0065398C"/>
    <w:rsid w:val="00654B16"/>
    <w:rsid w:val="00656137"/>
    <w:rsid w:val="00674F1E"/>
    <w:rsid w:val="00680812"/>
    <w:rsid w:val="00680D79"/>
    <w:rsid w:val="00681718"/>
    <w:rsid w:val="00686E47"/>
    <w:rsid w:val="00687666"/>
    <w:rsid w:val="00692039"/>
    <w:rsid w:val="006A522A"/>
    <w:rsid w:val="006B1C55"/>
    <w:rsid w:val="006C7E82"/>
    <w:rsid w:val="006D1626"/>
    <w:rsid w:val="006D164D"/>
    <w:rsid w:val="006D168B"/>
    <w:rsid w:val="006D2370"/>
    <w:rsid w:val="006D4012"/>
    <w:rsid w:val="006D5F3A"/>
    <w:rsid w:val="006E2453"/>
    <w:rsid w:val="006F3B0C"/>
    <w:rsid w:val="006F48F8"/>
    <w:rsid w:val="006F6821"/>
    <w:rsid w:val="007017CA"/>
    <w:rsid w:val="00702DFE"/>
    <w:rsid w:val="00706693"/>
    <w:rsid w:val="0071006E"/>
    <w:rsid w:val="007142A9"/>
    <w:rsid w:val="0072500E"/>
    <w:rsid w:val="007262DD"/>
    <w:rsid w:val="00730E7E"/>
    <w:rsid w:val="00732B29"/>
    <w:rsid w:val="00737166"/>
    <w:rsid w:val="00743B08"/>
    <w:rsid w:val="00754D30"/>
    <w:rsid w:val="00756D24"/>
    <w:rsid w:val="0076077D"/>
    <w:rsid w:val="007705C7"/>
    <w:rsid w:val="0077066F"/>
    <w:rsid w:val="0078135F"/>
    <w:rsid w:val="007842F4"/>
    <w:rsid w:val="007A1AA2"/>
    <w:rsid w:val="007A413D"/>
    <w:rsid w:val="007A5005"/>
    <w:rsid w:val="007B02DB"/>
    <w:rsid w:val="007B0E9F"/>
    <w:rsid w:val="007B28A5"/>
    <w:rsid w:val="007B3C09"/>
    <w:rsid w:val="007B5D5A"/>
    <w:rsid w:val="007C1F8C"/>
    <w:rsid w:val="007D208E"/>
    <w:rsid w:val="007D4986"/>
    <w:rsid w:val="007D4EA0"/>
    <w:rsid w:val="007F1A25"/>
    <w:rsid w:val="007F59CE"/>
    <w:rsid w:val="00805A60"/>
    <w:rsid w:val="008067E8"/>
    <w:rsid w:val="0080733F"/>
    <w:rsid w:val="00813669"/>
    <w:rsid w:val="0082224F"/>
    <w:rsid w:val="00823425"/>
    <w:rsid w:val="00824A79"/>
    <w:rsid w:val="0082600B"/>
    <w:rsid w:val="008339FE"/>
    <w:rsid w:val="00834CEB"/>
    <w:rsid w:val="00846582"/>
    <w:rsid w:val="00846942"/>
    <w:rsid w:val="00850E94"/>
    <w:rsid w:val="00852C55"/>
    <w:rsid w:val="008530B6"/>
    <w:rsid w:val="008531CF"/>
    <w:rsid w:val="008609F9"/>
    <w:rsid w:val="00860AE4"/>
    <w:rsid w:val="00863ECA"/>
    <w:rsid w:val="008673B6"/>
    <w:rsid w:val="00871A89"/>
    <w:rsid w:val="00875230"/>
    <w:rsid w:val="00875C00"/>
    <w:rsid w:val="00882AA2"/>
    <w:rsid w:val="00883C94"/>
    <w:rsid w:val="00887AC8"/>
    <w:rsid w:val="008970C1"/>
    <w:rsid w:val="008A433E"/>
    <w:rsid w:val="008A44A7"/>
    <w:rsid w:val="008C5687"/>
    <w:rsid w:val="008C756E"/>
    <w:rsid w:val="008C75F3"/>
    <w:rsid w:val="008D0B6F"/>
    <w:rsid w:val="008D206C"/>
    <w:rsid w:val="008D2479"/>
    <w:rsid w:val="008D720F"/>
    <w:rsid w:val="008D73F4"/>
    <w:rsid w:val="008D7DA6"/>
    <w:rsid w:val="008E0FF9"/>
    <w:rsid w:val="008E2696"/>
    <w:rsid w:val="008E5B2D"/>
    <w:rsid w:val="008E6DC1"/>
    <w:rsid w:val="008F5AF6"/>
    <w:rsid w:val="008F6B4D"/>
    <w:rsid w:val="00900AFE"/>
    <w:rsid w:val="00906FDB"/>
    <w:rsid w:val="009119F1"/>
    <w:rsid w:val="009130C1"/>
    <w:rsid w:val="009140E8"/>
    <w:rsid w:val="00916036"/>
    <w:rsid w:val="00920DA3"/>
    <w:rsid w:val="009224DB"/>
    <w:rsid w:val="0092308F"/>
    <w:rsid w:val="00931D98"/>
    <w:rsid w:val="009325A0"/>
    <w:rsid w:val="00933A79"/>
    <w:rsid w:val="0093598E"/>
    <w:rsid w:val="009378DB"/>
    <w:rsid w:val="00941692"/>
    <w:rsid w:val="009418E5"/>
    <w:rsid w:val="00943D63"/>
    <w:rsid w:val="0094548E"/>
    <w:rsid w:val="009457C9"/>
    <w:rsid w:val="009473D0"/>
    <w:rsid w:val="00951653"/>
    <w:rsid w:val="0095592E"/>
    <w:rsid w:val="00956EBC"/>
    <w:rsid w:val="009631EA"/>
    <w:rsid w:val="00974480"/>
    <w:rsid w:val="009760B7"/>
    <w:rsid w:val="00977F20"/>
    <w:rsid w:val="00982CC8"/>
    <w:rsid w:val="00983ABB"/>
    <w:rsid w:val="00987AA7"/>
    <w:rsid w:val="0099449D"/>
    <w:rsid w:val="009B2F73"/>
    <w:rsid w:val="009B6423"/>
    <w:rsid w:val="009C0EFE"/>
    <w:rsid w:val="009C1FCE"/>
    <w:rsid w:val="009C29B6"/>
    <w:rsid w:val="009C4012"/>
    <w:rsid w:val="009C5881"/>
    <w:rsid w:val="009D0950"/>
    <w:rsid w:val="009D132F"/>
    <w:rsid w:val="009D24EC"/>
    <w:rsid w:val="009D4901"/>
    <w:rsid w:val="009D4F43"/>
    <w:rsid w:val="009D63C0"/>
    <w:rsid w:val="009E791F"/>
    <w:rsid w:val="009E7ACC"/>
    <w:rsid w:val="009F534B"/>
    <w:rsid w:val="00A002FB"/>
    <w:rsid w:val="00A060F5"/>
    <w:rsid w:val="00A0744E"/>
    <w:rsid w:val="00A10E1D"/>
    <w:rsid w:val="00A1627B"/>
    <w:rsid w:val="00A1780F"/>
    <w:rsid w:val="00A233A1"/>
    <w:rsid w:val="00A26D1D"/>
    <w:rsid w:val="00A3605E"/>
    <w:rsid w:val="00A4318F"/>
    <w:rsid w:val="00A43D8A"/>
    <w:rsid w:val="00A456F9"/>
    <w:rsid w:val="00A51726"/>
    <w:rsid w:val="00A53EF1"/>
    <w:rsid w:val="00A544FD"/>
    <w:rsid w:val="00A55C76"/>
    <w:rsid w:val="00A56434"/>
    <w:rsid w:val="00A602D8"/>
    <w:rsid w:val="00A62182"/>
    <w:rsid w:val="00A71BFA"/>
    <w:rsid w:val="00A81294"/>
    <w:rsid w:val="00A83150"/>
    <w:rsid w:val="00A84A90"/>
    <w:rsid w:val="00A850A7"/>
    <w:rsid w:val="00A86E5C"/>
    <w:rsid w:val="00A922E4"/>
    <w:rsid w:val="00A94043"/>
    <w:rsid w:val="00A94933"/>
    <w:rsid w:val="00AA18AB"/>
    <w:rsid w:val="00AA4539"/>
    <w:rsid w:val="00AB2338"/>
    <w:rsid w:val="00AB40D3"/>
    <w:rsid w:val="00AB4709"/>
    <w:rsid w:val="00AB5320"/>
    <w:rsid w:val="00AB582F"/>
    <w:rsid w:val="00AB7371"/>
    <w:rsid w:val="00AB7B49"/>
    <w:rsid w:val="00AC027A"/>
    <w:rsid w:val="00AC0CE3"/>
    <w:rsid w:val="00AC2399"/>
    <w:rsid w:val="00AC449A"/>
    <w:rsid w:val="00AC6BCB"/>
    <w:rsid w:val="00AC759B"/>
    <w:rsid w:val="00AD21F8"/>
    <w:rsid w:val="00AD75CB"/>
    <w:rsid w:val="00AE1044"/>
    <w:rsid w:val="00AE4A31"/>
    <w:rsid w:val="00AE74A6"/>
    <w:rsid w:val="00AF46EE"/>
    <w:rsid w:val="00AF499D"/>
    <w:rsid w:val="00B01187"/>
    <w:rsid w:val="00B01DBD"/>
    <w:rsid w:val="00B053FF"/>
    <w:rsid w:val="00B07CB2"/>
    <w:rsid w:val="00B11DF0"/>
    <w:rsid w:val="00B152D4"/>
    <w:rsid w:val="00B157D8"/>
    <w:rsid w:val="00B15ADD"/>
    <w:rsid w:val="00B15D3E"/>
    <w:rsid w:val="00B210A9"/>
    <w:rsid w:val="00B22FC0"/>
    <w:rsid w:val="00B24C5A"/>
    <w:rsid w:val="00B33106"/>
    <w:rsid w:val="00B336C9"/>
    <w:rsid w:val="00B35AC0"/>
    <w:rsid w:val="00B409BB"/>
    <w:rsid w:val="00B45E80"/>
    <w:rsid w:val="00B511D4"/>
    <w:rsid w:val="00B5306F"/>
    <w:rsid w:val="00B614FD"/>
    <w:rsid w:val="00B70832"/>
    <w:rsid w:val="00B70CDE"/>
    <w:rsid w:val="00B76C67"/>
    <w:rsid w:val="00B84A48"/>
    <w:rsid w:val="00B91600"/>
    <w:rsid w:val="00BA16A2"/>
    <w:rsid w:val="00BA2201"/>
    <w:rsid w:val="00BA26D2"/>
    <w:rsid w:val="00BB1598"/>
    <w:rsid w:val="00BB5C7A"/>
    <w:rsid w:val="00BB7C61"/>
    <w:rsid w:val="00BB7E35"/>
    <w:rsid w:val="00BC48E1"/>
    <w:rsid w:val="00BC4CAF"/>
    <w:rsid w:val="00BC67EE"/>
    <w:rsid w:val="00BC687F"/>
    <w:rsid w:val="00BD5D9F"/>
    <w:rsid w:val="00BE09CA"/>
    <w:rsid w:val="00BE5D91"/>
    <w:rsid w:val="00BF1371"/>
    <w:rsid w:val="00BF3CC1"/>
    <w:rsid w:val="00BF6078"/>
    <w:rsid w:val="00C00D20"/>
    <w:rsid w:val="00C035C9"/>
    <w:rsid w:val="00C060F0"/>
    <w:rsid w:val="00C065E9"/>
    <w:rsid w:val="00C16AEA"/>
    <w:rsid w:val="00C23810"/>
    <w:rsid w:val="00C35796"/>
    <w:rsid w:val="00C4480A"/>
    <w:rsid w:val="00C474B5"/>
    <w:rsid w:val="00C474CE"/>
    <w:rsid w:val="00C577B2"/>
    <w:rsid w:val="00C6400A"/>
    <w:rsid w:val="00C64396"/>
    <w:rsid w:val="00C6627E"/>
    <w:rsid w:val="00C675C2"/>
    <w:rsid w:val="00C76A6D"/>
    <w:rsid w:val="00C830F1"/>
    <w:rsid w:val="00C85F55"/>
    <w:rsid w:val="00C91D4A"/>
    <w:rsid w:val="00C924A9"/>
    <w:rsid w:val="00C92A29"/>
    <w:rsid w:val="00C94EC3"/>
    <w:rsid w:val="00C96C4B"/>
    <w:rsid w:val="00CA2326"/>
    <w:rsid w:val="00CA3AD9"/>
    <w:rsid w:val="00CA44E9"/>
    <w:rsid w:val="00CA50BF"/>
    <w:rsid w:val="00CA5A98"/>
    <w:rsid w:val="00CB2F05"/>
    <w:rsid w:val="00CB53F5"/>
    <w:rsid w:val="00CB608D"/>
    <w:rsid w:val="00CC2E97"/>
    <w:rsid w:val="00CC3670"/>
    <w:rsid w:val="00CC5213"/>
    <w:rsid w:val="00CC55B9"/>
    <w:rsid w:val="00CD0F39"/>
    <w:rsid w:val="00CD31BA"/>
    <w:rsid w:val="00CD57BB"/>
    <w:rsid w:val="00CE0CFF"/>
    <w:rsid w:val="00CF15F9"/>
    <w:rsid w:val="00CF3093"/>
    <w:rsid w:val="00CF3697"/>
    <w:rsid w:val="00CF45EA"/>
    <w:rsid w:val="00CF62D5"/>
    <w:rsid w:val="00CF70B4"/>
    <w:rsid w:val="00D04C3F"/>
    <w:rsid w:val="00D1216D"/>
    <w:rsid w:val="00D17FE8"/>
    <w:rsid w:val="00D239C8"/>
    <w:rsid w:val="00D30A9B"/>
    <w:rsid w:val="00D32AEB"/>
    <w:rsid w:val="00D3673B"/>
    <w:rsid w:val="00D37D4E"/>
    <w:rsid w:val="00D50A33"/>
    <w:rsid w:val="00D537FA"/>
    <w:rsid w:val="00D63993"/>
    <w:rsid w:val="00D70F64"/>
    <w:rsid w:val="00D710C0"/>
    <w:rsid w:val="00D75E84"/>
    <w:rsid w:val="00D761EB"/>
    <w:rsid w:val="00D770E5"/>
    <w:rsid w:val="00D801EF"/>
    <w:rsid w:val="00D942DC"/>
    <w:rsid w:val="00DA189B"/>
    <w:rsid w:val="00DA5249"/>
    <w:rsid w:val="00DA5EC0"/>
    <w:rsid w:val="00DA63B0"/>
    <w:rsid w:val="00DA7108"/>
    <w:rsid w:val="00DA79D0"/>
    <w:rsid w:val="00DB2ECB"/>
    <w:rsid w:val="00DB3349"/>
    <w:rsid w:val="00DB5366"/>
    <w:rsid w:val="00DC30E7"/>
    <w:rsid w:val="00DC5717"/>
    <w:rsid w:val="00DD2FE6"/>
    <w:rsid w:val="00DD7D89"/>
    <w:rsid w:val="00DE0718"/>
    <w:rsid w:val="00DF42F9"/>
    <w:rsid w:val="00DF4315"/>
    <w:rsid w:val="00DF7F82"/>
    <w:rsid w:val="00E0025C"/>
    <w:rsid w:val="00E05786"/>
    <w:rsid w:val="00E05C85"/>
    <w:rsid w:val="00E06DEE"/>
    <w:rsid w:val="00E14EB3"/>
    <w:rsid w:val="00E25AD9"/>
    <w:rsid w:val="00E25C69"/>
    <w:rsid w:val="00E3072A"/>
    <w:rsid w:val="00E31283"/>
    <w:rsid w:val="00E35E83"/>
    <w:rsid w:val="00E60EF4"/>
    <w:rsid w:val="00E65565"/>
    <w:rsid w:val="00E673D1"/>
    <w:rsid w:val="00E720F1"/>
    <w:rsid w:val="00E73CB6"/>
    <w:rsid w:val="00E75749"/>
    <w:rsid w:val="00E84B4F"/>
    <w:rsid w:val="00E8695A"/>
    <w:rsid w:val="00EA3FF8"/>
    <w:rsid w:val="00EA4092"/>
    <w:rsid w:val="00EB17A2"/>
    <w:rsid w:val="00EB315B"/>
    <w:rsid w:val="00EB50C0"/>
    <w:rsid w:val="00EB7D1A"/>
    <w:rsid w:val="00EC0783"/>
    <w:rsid w:val="00EC1A7E"/>
    <w:rsid w:val="00EC644B"/>
    <w:rsid w:val="00ED0349"/>
    <w:rsid w:val="00ED1940"/>
    <w:rsid w:val="00ED5842"/>
    <w:rsid w:val="00EE403E"/>
    <w:rsid w:val="00EE4947"/>
    <w:rsid w:val="00EF0BB4"/>
    <w:rsid w:val="00EF1009"/>
    <w:rsid w:val="00EF337B"/>
    <w:rsid w:val="00F0219C"/>
    <w:rsid w:val="00F03D4E"/>
    <w:rsid w:val="00F060CD"/>
    <w:rsid w:val="00F12A9E"/>
    <w:rsid w:val="00F166EF"/>
    <w:rsid w:val="00F20028"/>
    <w:rsid w:val="00F202DC"/>
    <w:rsid w:val="00F30204"/>
    <w:rsid w:val="00F373CC"/>
    <w:rsid w:val="00F44E5E"/>
    <w:rsid w:val="00F467EB"/>
    <w:rsid w:val="00F528F4"/>
    <w:rsid w:val="00F54B14"/>
    <w:rsid w:val="00F56C6D"/>
    <w:rsid w:val="00F62B20"/>
    <w:rsid w:val="00F65F16"/>
    <w:rsid w:val="00F664C3"/>
    <w:rsid w:val="00F66DD3"/>
    <w:rsid w:val="00F70177"/>
    <w:rsid w:val="00F76866"/>
    <w:rsid w:val="00F861C9"/>
    <w:rsid w:val="00F8795C"/>
    <w:rsid w:val="00F90BEC"/>
    <w:rsid w:val="00F953CA"/>
    <w:rsid w:val="00FB1719"/>
    <w:rsid w:val="00FB304F"/>
    <w:rsid w:val="00FB711E"/>
    <w:rsid w:val="00FC1BC2"/>
    <w:rsid w:val="00FC6ED5"/>
    <w:rsid w:val="00FD480E"/>
    <w:rsid w:val="00FD7362"/>
    <w:rsid w:val="00FE0F2D"/>
    <w:rsid w:val="00FE1359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  <w:style w:type="table" w:customStyle="1" w:styleId="Tabela-Siatka1">
    <w:name w:val="Tabela - Siatka1"/>
    <w:basedOn w:val="Standardowy"/>
    <w:uiPriority w:val="39"/>
    <w:rsid w:val="0084694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qFormat/>
    <w:rsid w:val="00287E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link w:val="Default"/>
    <w:rsid w:val="00287EE8"/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9C29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29B6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7B28A5"/>
    <w:rPr>
      <w:kern w:val="0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CF36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9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13</Pages>
  <Words>2719</Words>
  <Characters>16315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Małgorzata Rybarczyk</cp:lastModifiedBy>
  <cp:revision>418</cp:revision>
  <dcterms:created xsi:type="dcterms:W3CDTF">2023-05-22T12:17:00Z</dcterms:created>
  <dcterms:modified xsi:type="dcterms:W3CDTF">2024-10-23T05:56:00Z</dcterms:modified>
</cp:coreProperties>
</file>