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1B56" w14:textId="77777777" w:rsidR="00ED10B4" w:rsidRPr="00E5216A" w:rsidRDefault="00ED10B4" w:rsidP="00ED10B4">
      <w:pPr>
        <w:pStyle w:val="ListParagraph1"/>
        <w:spacing w:before="240" w:line="240" w:lineRule="auto"/>
        <w:ind w:left="0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UZASADNIENIE</w:t>
      </w:r>
    </w:p>
    <w:p w14:paraId="1608954D" w14:textId="77777777" w:rsidR="00ED10B4" w:rsidRPr="000449A3" w:rsidRDefault="00ED10B4" w:rsidP="00ED10B4">
      <w:pPr>
        <w:numPr>
          <w:ilvl w:val="0"/>
          <w:numId w:val="1"/>
        </w:numPr>
        <w:tabs>
          <w:tab w:val="left" w:pos="600"/>
        </w:tabs>
        <w:jc w:val="both"/>
        <w:rPr>
          <w:b/>
        </w:rPr>
      </w:pPr>
      <w:r>
        <w:rPr>
          <w:b/>
        </w:rPr>
        <w:t>Przedmiot regulacji:</w:t>
      </w:r>
    </w:p>
    <w:p w14:paraId="62546364" w14:textId="0F17C6B1" w:rsidR="00ED10B4" w:rsidRDefault="00ED10B4" w:rsidP="00ED10B4">
      <w:pPr>
        <w:tabs>
          <w:tab w:val="left" w:pos="600"/>
        </w:tabs>
        <w:ind w:left="720"/>
        <w:jc w:val="both"/>
      </w:pPr>
      <w:r w:rsidRPr="005940F9">
        <w:t xml:space="preserve">Zgodnie z przepisami </w:t>
      </w:r>
      <w:r>
        <w:t>ustawy o działalności pożytku publicznego i o wolontariacie,</w:t>
      </w:r>
      <w:r w:rsidRPr="005940F9">
        <w:t xml:space="preserve"> roczny program współpracy jest uchwalany do dnia 30 listopada roku poprzedzającego okres obowiązywania programu. Wobec powyższego przedkłada się projekt uchwały dotyczący programu współpracy </w:t>
      </w:r>
      <w:r>
        <w:t xml:space="preserve">Samorządu </w:t>
      </w:r>
      <w:r w:rsidRPr="005940F9">
        <w:t xml:space="preserve">Województwa Kujawsko-Pomorskiego </w:t>
      </w:r>
      <w:r>
        <w:br/>
      </w:r>
      <w:r w:rsidRPr="005940F9">
        <w:t>z organizacjami pozarządowymi na rok 20</w:t>
      </w:r>
      <w:r>
        <w:t>2</w:t>
      </w:r>
      <w:r w:rsidR="00C92D44">
        <w:t>5</w:t>
      </w:r>
      <w:r w:rsidR="001669EF">
        <w:t xml:space="preserve"> w ustawowym terminie</w:t>
      </w:r>
      <w:r w:rsidRPr="005940F9">
        <w:t>.</w:t>
      </w:r>
    </w:p>
    <w:p w14:paraId="5A75EAEA" w14:textId="77777777" w:rsidR="00ED10B4" w:rsidRPr="000449A3" w:rsidRDefault="00ED10B4" w:rsidP="00ED10B4">
      <w:pPr>
        <w:numPr>
          <w:ilvl w:val="0"/>
          <w:numId w:val="1"/>
        </w:numPr>
        <w:tabs>
          <w:tab w:val="left" w:pos="600"/>
        </w:tabs>
        <w:jc w:val="both"/>
        <w:rPr>
          <w:b/>
        </w:rPr>
      </w:pPr>
      <w:r w:rsidRPr="000449A3">
        <w:rPr>
          <w:b/>
        </w:rPr>
        <w:t>Omówienie podstawy prawnej:</w:t>
      </w:r>
    </w:p>
    <w:p w14:paraId="78C1E8F3" w14:textId="77777777" w:rsidR="00ED10B4" w:rsidRDefault="00ED10B4" w:rsidP="00ED10B4">
      <w:pPr>
        <w:tabs>
          <w:tab w:val="left" w:pos="600"/>
        </w:tabs>
        <w:ind w:left="720"/>
        <w:jc w:val="both"/>
      </w:pPr>
      <w:r>
        <w:rPr>
          <w:rFonts w:eastAsia="Calibri"/>
          <w:lang w:eastAsia="en-US"/>
        </w:rPr>
        <w:t>1) A</w:t>
      </w:r>
      <w:r w:rsidRPr="00E76AA6">
        <w:rPr>
          <w:rFonts w:eastAsia="Calibri"/>
          <w:lang w:eastAsia="en-US"/>
        </w:rPr>
        <w:t>rt. 18 pkt. 20 ustawy z dnia 5 czerwca 1998 r. o samorz</w:t>
      </w:r>
      <w:r w:rsidRPr="00E76AA6">
        <w:rPr>
          <w:rFonts w:eastAsia="TimesNewRoman"/>
          <w:lang w:eastAsia="en-US"/>
        </w:rPr>
        <w:t>ą</w:t>
      </w:r>
      <w:r w:rsidRPr="00E76AA6">
        <w:rPr>
          <w:rFonts w:eastAsia="Calibri"/>
          <w:lang w:eastAsia="en-US"/>
        </w:rPr>
        <w:t xml:space="preserve">dzie województwa </w:t>
      </w:r>
      <w:r w:rsidRPr="00E76AA6">
        <w:rPr>
          <w:rFonts w:eastAsia="Calibri"/>
          <w:lang w:eastAsia="en-US"/>
        </w:rPr>
        <w:br/>
      </w:r>
      <w:r>
        <w:t>stanowi, iż d</w:t>
      </w:r>
      <w:r w:rsidRPr="002D041A">
        <w:t>o wyłącznej właściwości sejmiku województwa należy</w:t>
      </w:r>
      <w:r>
        <w:t xml:space="preserve"> m.in. p</w:t>
      </w:r>
      <w:r w:rsidRPr="002D041A">
        <w:t>odejmowanie uchwał w innych sprawach zastrzeżonych ustawami i statutem województwa do kompetencji sejmiku województwa</w:t>
      </w:r>
      <w:r>
        <w:t>.</w:t>
      </w:r>
    </w:p>
    <w:p w14:paraId="4212993B" w14:textId="77777777" w:rsidR="00ED10B4" w:rsidRDefault="00ED10B4" w:rsidP="00ED10B4">
      <w:pPr>
        <w:tabs>
          <w:tab w:val="left" w:pos="600"/>
        </w:tabs>
        <w:ind w:left="720"/>
        <w:jc w:val="both"/>
      </w:pPr>
      <w:r>
        <w:t xml:space="preserve">2) </w:t>
      </w:r>
      <w:r w:rsidRPr="009B62B1">
        <w:t xml:space="preserve">Zgodnie z art. 5a ust. 1 ustawy </w:t>
      </w:r>
      <w:r w:rsidRPr="00E5216A">
        <w:t xml:space="preserve">z dnia 24 kwietnia 2003 r. </w:t>
      </w:r>
      <w:r w:rsidRPr="009B62B1">
        <w:t>o działalności pożytku publicznego i o wolontariacie</w:t>
      </w:r>
      <w:r>
        <w:t>,</w:t>
      </w:r>
      <w:r w:rsidRPr="009B62B1">
        <w:t xml:space="preserve"> organ stanowiący jednostki samorządu terytorialnego uchwala roczny program</w:t>
      </w:r>
      <w:r>
        <w:t xml:space="preserve"> współpracy </w:t>
      </w:r>
      <w:r w:rsidRPr="009B62B1">
        <w:t xml:space="preserve">z organizacjami pozarządowymi oraz podmiotami, </w:t>
      </w:r>
      <w:r>
        <w:br/>
      </w:r>
      <w:r w:rsidRPr="009B62B1">
        <w:t>o których mowa w art. 3 ust. 3 niniejszej ustawy.</w:t>
      </w:r>
      <w:r>
        <w:t xml:space="preserve"> </w:t>
      </w:r>
      <w:r w:rsidRPr="002D041A">
        <w:t>Roczny program współpracy jest uchwalany do dnia 30 listopada roku poprzedzającego okres obowiązywania programu.</w:t>
      </w:r>
    </w:p>
    <w:p w14:paraId="5E8D3616" w14:textId="77777777" w:rsidR="00ED10B4" w:rsidRPr="000449A3" w:rsidRDefault="00ED10B4" w:rsidP="00ED10B4">
      <w:pPr>
        <w:numPr>
          <w:ilvl w:val="0"/>
          <w:numId w:val="1"/>
        </w:numPr>
        <w:tabs>
          <w:tab w:val="left" w:pos="600"/>
        </w:tabs>
        <w:jc w:val="both"/>
        <w:rPr>
          <w:b/>
        </w:rPr>
      </w:pPr>
      <w:r w:rsidRPr="000449A3">
        <w:rPr>
          <w:b/>
        </w:rPr>
        <w:t>Konsul</w:t>
      </w:r>
      <w:r>
        <w:rPr>
          <w:b/>
        </w:rPr>
        <w:t>tacje wymagane przepisami prawa:</w:t>
      </w:r>
    </w:p>
    <w:p w14:paraId="6A60D909" w14:textId="38201221" w:rsidR="00ED10B4" w:rsidRPr="00054AB2" w:rsidRDefault="00ED10B4" w:rsidP="00ED10B4">
      <w:pPr>
        <w:tabs>
          <w:tab w:val="left" w:pos="600"/>
        </w:tabs>
        <w:ind w:left="720"/>
        <w:jc w:val="both"/>
      </w:pPr>
      <w:r w:rsidRPr="009B62B1">
        <w:rPr>
          <w:rFonts w:cs="Arial"/>
        </w:rPr>
        <w:t xml:space="preserve">Projekt został </w:t>
      </w:r>
      <w:r>
        <w:rPr>
          <w:rFonts w:cs="Arial"/>
        </w:rPr>
        <w:t>poddany konsultacjom</w:t>
      </w:r>
      <w:r w:rsidRPr="009B62B1">
        <w:rPr>
          <w:rFonts w:cs="Arial"/>
        </w:rPr>
        <w:t xml:space="preserve"> zgodnie z Uchwałą </w:t>
      </w:r>
      <w:r w:rsidRPr="00365A1B">
        <w:t>Nr XV/</w:t>
      </w:r>
      <w:r>
        <w:t>310</w:t>
      </w:r>
      <w:r w:rsidRPr="00365A1B">
        <w:t>/1</w:t>
      </w:r>
      <w:r>
        <w:t>5</w:t>
      </w:r>
      <w:r w:rsidRPr="00365A1B">
        <w:t xml:space="preserve"> Sejmiku Województwa Kujawsko-Pomorskiego z dnia </w:t>
      </w:r>
      <w:r>
        <w:t>21</w:t>
      </w:r>
      <w:r w:rsidRPr="00365A1B">
        <w:t xml:space="preserve"> </w:t>
      </w:r>
      <w:r>
        <w:t>grudnia</w:t>
      </w:r>
      <w:r w:rsidRPr="00365A1B">
        <w:t xml:space="preserve"> 201</w:t>
      </w:r>
      <w:r>
        <w:t>5</w:t>
      </w:r>
      <w:r w:rsidRPr="00365A1B">
        <w:t xml:space="preserve"> r.</w:t>
      </w:r>
      <w:r>
        <w:t xml:space="preserve"> </w:t>
      </w:r>
      <w:r w:rsidRPr="009B62B1">
        <w:rPr>
          <w:rFonts w:cs="Arial"/>
        </w:rPr>
        <w:t>w sprawie określenia szczegółowego sposobu konsultowania projekt</w:t>
      </w:r>
      <w:r>
        <w:rPr>
          <w:rFonts w:cs="Arial"/>
        </w:rPr>
        <w:t xml:space="preserve">ów aktów prawa miejscowego. </w:t>
      </w:r>
      <w:r w:rsidRPr="006B3BCB">
        <w:t xml:space="preserve">Konsultacje projektu </w:t>
      </w:r>
      <w:r w:rsidRPr="00186A16">
        <w:rPr>
          <w:rFonts w:cs="Arial"/>
        </w:rPr>
        <w:t xml:space="preserve">Programu współpracy </w:t>
      </w:r>
      <w:r>
        <w:rPr>
          <w:rFonts w:cs="Arial"/>
        </w:rPr>
        <w:t>s</w:t>
      </w:r>
      <w:r w:rsidRPr="00186A16">
        <w:rPr>
          <w:rFonts w:cs="Arial"/>
        </w:rPr>
        <w:t xml:space="preserve">amorządu </w:t>
      </w:r>
      <w:r>
        <w:rPr>
          <w:rFonts w:cs="Arial"/>
        </w:rPr>
        <w:t>w</w:t>
      </w:r>
      <w:r w:rsidRPr="00186A16">
        <w:rPr>
          <w:rFonts w:cs="Arial"/>
        </w:rPr>
        <w:t xml:space="preserve">ojewództwa </w:t>
      </w:r>
      <w:r>
        <w:rPr>
          <w:rFonts w:cs="Arial"/>
        </w:rPr>
        <w:t>k</w:t>
      </w:r>
      <w:r w:rsidRPr="00186A16">
        <w:rPr>
          <w:rFonts w:cs="Arial"/>
        </w:rPr>
        <w:t>ujawsko-</w:t>
      </w:r>
      <w:r>
        <w:rPr>
          <w:rFonts w:cs="Arial"/>
        </w:rPr>
        <w:t>p</w:t>
      </w:r>
      <w:r w:rsidRPr="00186A16">
        <w:rPr>
          <w:rFonts w:cs="Arial"/>
        </w:rPr>
        <w:t>omorskiego z organizacjami pozarządowymi na rok 20</w:t>
      </w:r>
      <w:r>
        <w:rPr>
          <w:rFonts w:cs="Arial"/>
        </w:rPr>
        <w:t>2</w:t>
      </w:r>
      <w:r w:rsidR="00C92D44">
        <w:rPr>
          <w:rFonts w:cs="Arial"/>
        </w:rPr>
        <w:t>5</w:t>
      </w:r>
      <w:r w:rsidRPr="00186A16">
        <w:rPr>
          <w:rFonts w:cs="Arial"/>
        </w:rPr>
        <w:t xml:space="preserve"> zostały przeprowadzone </w:t>
      </w:r>
      <w:r>
        <w:rPr>
          <w:rFonts w:cs="Arial"/>
        </w:rPr>
        <w:br/>
      </w:r>
      <w:r w:rsidRPr="00186A16">
        <w:rPr>
          <w:rFonts w:cs="Arial"/>
        </w:rPr>
        <w:t xml:space="preserve">w terminie od </w:t>
      </w:r>
      <w:r>
        <w:rPr>
          <w:rFonts w:cs="Arial"/>
        </w:rPr>
        <w:t xml:space="preserve">dnia </w:t>
      </w:r>
      <w:r w:rsidR="00C92D44">
        <w:rPr>
          <w:rFonts w:cs="Arial"/>
        </w:rPr>
        <w:t>2</w:t>
      </w:r>
      <w:r w:rsidR="001669EF">
        <w:rPr>
          <w:rFonts w:cs="Arial"/>
        </w:rPr>
        <w:t>1</w:t>
      </w:r>
      <w:r w:rsidR="005265F0">
        <w:rPr>
          <w:rFonts w:cs="Arial"/>
        </w:rPr>
        <w:t xml:space="preserve"> sierpnia</w:t>
      </w:r>
      <w:r>
        <w:rPr>
          <w:rFonts w:cs="Arial"/>
        </w:rPr>
        <w:t xml:space="preserve"> do </w:t>
      </w:r>
      <w:r w:rsidR="00C92D44">
        <w:rPr>
          <w:rFonts w:cs="Arial"/>
        </w:rPr>
        <w:t>4</w:t>
      </w:r>
      <w:r>
        <w:rPr>
          <w:rFonts w:cs="Arial"/>
        </w:rPr>
        <w:t xml:space="preserve"> września </w:t>
      </w:r>
      <w:r w:rsidRPr="00186A16">
        <w:rPr>
          <w:rFonts w:cs="Arial"/>
        </w:rPr>
        <w:t>20</w:t>
      </w:r>
      <w:r>
        <w:rPr>
          <w:rFonts w:cs="Arial"/>
        </w:rPr>
        <w:t>2</w:t>
      </w:r>
      <w:r w:rsidR="00C92D44">
        <w:rPr>
          <w:rFonts w:cs="Arial"/>
        </w:rPr>
        <w:t>4</w:t>
      </w:r>
      <w:r>
        <w:rPr>
          <w:rFonts w:cs="Arial"/>
        </w:rPr>
        <w:t xml:space="preserve"> </w:t>
      </w:r>
      <w:r w:rsidRPr="00186A16">
        <w:rPr>
          <w:rFonts w:cs="Arial"/>
        </w:rPr>
        <w:t xml:space="preserve">r. W </w:t>
      </w:r>
      <w:r w:rsidR="005265F0">
        <w:rPr>
          <w:rFonts w:cs="Arial"/>
        </w:rPr>
        <w:t>trakcie</w:t>
      </w:r>
      <w:r w:rsidRPr="00186A16">
        <w:rPr>
          <w:rFonts w:cs="Arial"/>
        </w:rPr>
        <w:t xml:space="preserve"> konsultacji organizacj</w:t>
      </w:r>
      <w:r>
        <w:rPr>
          <w:rFonts w:cs="Arial"/>
        </w:rPr>
        <w:t>e</w:t>
      </w:r>
      <w:r w:rsidRPr="00186A16">
        <w:rPr>
          <w:rFonts w:cs="Arial"/>
        </w:rPr>
        <w:t xml:space="preserve"> </w:t>
      </w:r>
      <w:r>
        <w:rPr>
          <w:rFonts w:cs="Arial"/>
        </w:rPr>
        <w:t xml:space="preserve">pozarządowe </w:t>
      </w:r>
      <w:r w:rsidR="00C92D44">
        <w:rPr>
          <w:rFonts w:cs="Arial"/>
        </w:rPr>
        <w:t xml:space="preserve">nie </w:t>
      </w:r>
      <w:r>
        <w:rPr>
          <w:rFonts w:cs="Arial"/>
        </w:rPr>
        <w:t xml:space="preserve">zgłosiły </w:t>
      </w:r>
      <w:r w:rsidR="00C92D44">
        <w:rPr>
          <w:rFonts w:cs="Arial"/>
        </w:rPr>
        <w:t>żadnych</w:t>
      </w:r>
      <w:r w:rsidR="001669EF">
        <w:rPr>
          <w:rFonts w:cs="Arial"/>
        </w:rPr>
        <w:t xml:space="preserve"> uwag</w:t>
      </w:r>
      <w:r w:rsidR="00C92D44">
        <w:rPr>
          <w:rFonts w:cs="Arial"/>
        </w:rPr>
        <w:t>.</w:t>
      </w:r>
    </w:p>
    <w:p w14:paraId="20730F74" w14:textId="77777777" w:rsidR="00ED10B4" w:rsidRPr="000449A3" w:rsidRDefault="00ED10B4" w:rsidP="00ED10B4">
      <w:pPr>
        <w:numPr>
          <w:ilvl w:val="0"/>
          <w:numId w:val="1"/>
        </w:numPr>
        <w:tabs>
          <w:tab w:val="left" w:pos="600"/>
        </w:tabs>
        <w:jc w:val="both"/>
        <w:rPr>
          <w:b/>
        </w:rPr>
      </w:pPr>
      <w:r w:rsidRPr="000449A3">
        <w:rPr>
          <w:b/>
        </w:rPr>
        <w:t>Uzasadnienie merytoryczne:</w:t>
      </w:r>
    </w:p>
    <w:p w14:paraId="79249F2B" w14:textId="77777777" w:rsidR="00ED10B4" w:rsidRDefault="00ED10B4" w:rsidP="00ED10B4">
      <w:pPr>
        <w:tabs>
          <w:tab w:val="left" w:pos="600"/>
        </w:tabs>
        <w:ind w:left="720"/>
        <w:jc w:val="both"/>
        <w:rPr>
          <w:rFonts w:cs="Arial"/>
        </w:rPr>
      </w:pPr>
      <w:r>
        <w:rPr>
          <w:rFonts w:cs="Arial"/>
        </w:rPr>
        <w:t>P</w:t>
      </w:r>
      <w:r w:rsidRPr="009B62B1">
        <w:rPr>
          <w:rFonts w:cs="Arial"/>
        </w:rPr>
        <w:t>rac</w:t>
      </w:r>
      <w:r>
        <w:rPr>
          <w:rFonts w:cs="Arial"/>
        </w:rPr>
        <w:t>e</w:t>
      </w:r>
      <w:r w:rsidRPr="009B62B1">
        <w:rPr>
          <w:rFonts w:cs="Arial"/>
        </w:rPr>
        <w:t xml:space="preserve"> nad projektem Programu </w:t>
      </w:r>
      <w:r>
        <w:rPr>
          <w:rFonts w:cs="Arial"/>
        </w:rPr>
        <w:t>koordynowało</w:t>
      </w:r>
      <w:r w:rsidRPr="009B62B1">
        <w:rPr>
          <w:rFonts w:cs="Arial"/>
        </w:rPr>
        <w:t xml:space="preserve"> </w:t>
      </w:r>
      <w:r>
        <w:rPr>
          <w:rFonts w:cs="Arial"/>
        </w:rPr>
        <w:t>Biuro</w:t>
      </w:r>
      <w:r w:rsidRPr="009B62B1">
        <w:rPr>
          <w:rFonts w:cs="Arial"/>
        </w:rPr>
        <w:t xml:space="preserve"> współpracy z organizacjami pozarządowymi</w:t>
      </w:r>
      <w:r w:rsidR="005265F0">
        <w:rPr>
          <w:rFonts w:cs="Arial"/>
        </w:rPr>
        <w:t xml:space="preserve"> w Departamencie Spraw Społecznych i Zdrowia</w:t>
      </w:r>
      <w:r w:rsidRPr="009B62B1">
        <w:rPr>
          <w:rFonts w:cs="Arial"/>
        </w:rPr>
        <w:t xml:space="preserve">. </w:t>
      </w:r>
      <w:r>
        <w:t xml:space="preserve">Zarząd Województwa przyjął sprawozdanie z przebiegu i wyników konsultacji, które zostało zamieszczone na stronie internetowej Urzędu Marszałkowskiego oraz na portalu </w:t>
      </w:r>
      <w:r w:rsidRPr="00F27327">
        <w:t>ngo.kujawsko-pomorskie.pl</w:t>
      </w:r>
      <w:r>
        <w:t xml:space="preserve">. </w:t>
      </w:r>
      <w:r>
        <w:rPr>
          <w:rFonts w:cs="Arial"/>
        </w:rPr>
        <w:t>W związku ze spełnieniem wszystkich wymogów formalno-prawnych wynikających z obowiązujących w tej materii uregulowań prawnych, program przedkłada się organowi stanowiącemu w celu uchwalenia.</w:t>
      </w:r>
    </w:p>
    <w:p w14:paraId="0CFB2026" w14:textId="77777777" w:rsidR="00ED10B4" w:rsidRPr="000449A3" w:rsidRDefault="00ED10B4" w:rsidP="00ED10B4">
      <w:pPr>
        <w:numPr>
          <w:ilvl w:val="0"/>
          <w:numId w:val="1"/>
        </w:numPr>
        <w:tabs>
          <w:tab w:val="left" w:pos="600"/>
        </w:tabs>
        <w:jc w:val="both"/>
        <w:rPr>
          <w:b/>
        </w:rPr>
      </w:pPr>
      <w:r w:rsidRPr="000449A3">
        <w:rPr>
          <w:rFonts w:cs="Arial"/>
          <w:b/>
        </w:rPr>
        <w:t>Ocena skutków regulacji</w:t>
      </w:r>
      <w:r>
        <w:rPr>
          <w:rFonts w:cs="Arial"/>
          <w:b/>
        </w:rPr>
        <w:t>:</w:t>
      </w:r>
    </w:p>
    <w:p w14:paraId="190CF819" w14:textId="78F1F32F" w:rsidR="00ED10B4" w:rsidRPr="001E0940" w:rsidRDefault="00ED10B4" w:rsidP="00ED10B4">
      <w:pPr>
        <w:autoSpaceDE w:val="0"/>
        <w:autoSpaceDN w:val="0"/>
        <w:adjustRightInd w:val="0"/>
        <w:ind w:left="720"/>
        <w:jc w:val="both"/>
      </w:pPr>
      <w:r w:rsidRPr="00601601">
        <w:rPr>
          <w:rFonts w:eastAsia="Calibri"/>
          <w:lang w:eastAsia="en-US"/>
        </w:rPr>
        <w:t>Sprawozdanie z realizacji Programu</w:t>
      </w:r>
      <w:r>
        <w:rPr>
          <w:rFonts w:eastAsia="Calibri"/>
          <w:lang w:eastAsia="en-US"/>
        </w:rPr>
        <w:t>,</w:t>
      </w:r>
      <w:r w:rsidRPr="0060160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</w:t>
      </w:r>
      <w:r w:rsidRPr="00601601">
        <w:rPr>
          <w:rFonts w:eastAsia="Calibri"/>
          <w:lang w:eastAsia="en-US"/>
        </w:rPr>
        <w:t>arz</w:t>
      </w:r>
      <w:r w:rsidRPr="00601601">
        <w:rPr>
          <w:rFonts w:eastAsia="TimesNewRoman"/>
          <w:lang w:eastAsia="en-US"/>
        </w:rPr>
        <w:t>ą</w:t>
      </w:r>
      <w:r w:rsidRPr="00601601">
        <w:rPr>
          <w:rFonts w:eastAsia="Calibri"/>
          <w:lang w:eastAsia="en-US"/>
        </w:rPr>
        <w:t>d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lang w:eastAsia="en-US"/>
        </w:rPr>
        <w:t>Województwa przedstawi</w:t>
      </w:r>
      <w:r w:rsidRPr="00601601">
        <w:rPr>
          <w:rFonts w:eastAsia="Calibri"/>
          <w:lang w:eastAsia="en-US"/>
        </w:rPr>
        <w:t xml:space="preserve"> Sejmikowi </w:t>
      </w:r>
      <w:r w:rsidR="005265F0">
        <w:rPr>
          <w:rFonts w:eastAsia="Calibri"/>
          <w:lang w:eastAsia="en-US"/>
        </w:rPr>
        <w:t xml:space="preserve">Województwa </w:t>
      </w:r>
      <w:r w:rsidRPr="00601601">
        <w:rPr>
          <w:rFonts w:eastAsia="Calibri"/>
          <w:lang w:eastAsia="en-US"/>
        </w:rPr>
        <w:t>w terminie</w:t>
      </w:r>
      <w:r>
        <w:rPr>
          <w:rFonts w:eastAsia="Calibri"/>
          <w:lang w:eastAsia="en-US"/>
        </w:rPr>
        <w:t xml:space="preserve"> </w:t>
      </w:r>
      <w:r w:rsidRPr="00601601">
        <w:rPr>
          <w:rFonts w:eastAsia="Calibri"/>
          <w:lang w:eastAsia="en-US"/>
        </w:rPr>
        <w:t xml:space="preserve">do </w:t>
      </w:r>
      <w:r>
        <w:rPr>
          <w:rFonts w:eastAsia="Calibri"/>
          <w:lang w:eastAsia="en-US"/>
        </w:rPr>
        <w:t>dnia 31 maja</w:t>
      </w:r>
      <w:r w:rsidRPr="00601601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</w:t>
      </w:r>
      <w:r w:rsidR="001669EF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</w:t>
      </w:r>
      <w:r w:rsidRPr="00601601">
        <w:rPr>
          <w:rFonts w:eastAsia="Calibri"/>
          <w:lang w:eastAsia="en-US"/>
        </w:rPr>
        <w:t>r.</w:t>
      </w:r>
      <w:r>
        <w:rPr>
          <w:rFonts w:eastAsia="Calibri"/>
          <w:bCs/>
          <w:lang w:eastAsia="en-US"/>
        </w:rPr>
        <w:t xml:space="preserve"> </w:t>
      </w:r>
      <w:r>
        <w:t xml:space="preserve">Przewiduje się, że Samorząd Województwa, przeznaczy na realizację Programu środki budżetowe w wysokości, </w:t>
      </w:r>
      <w:r w:rsidRPr="003162A0">
        <w:t xml:space="preserve">co najmniej </w:t>
      </w:r>
      <w:r>
        <w:t>6</w:t>
      </w:r>
      <w:r w:rsidRPr="003162A0">
        <w:t> </w:t>
      </w:r>
      <w:r w:rsidR="00C92D44">
        <w:t>19</w:t>
      </w:r>
      <w:r>
        <w:t>0</w:t>
      </w:r>
      <w:r w:rsidRPr="003162A0">
        <w:t> 000,00</w:t>
      </w:r>
      <w:r>
        <w:t xml:space="preserve"> zł.</w:t>
      </w:r>
    </w:p>
    <w:p w14:paraId="21968397" w14:textId="77777777" w:rsidR="00D92C6C" w:rsidRDefault="00D92C6C"/>
    <w:sectPr w:rsidR="00D92C6C" w:rsidSect="00FC7649">
      <w:pgSz w:w="12240" w:h="15840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42802"/>
    <w:multiLevelType w:val="hybridMultilevel"/>
    <w:tmpl w:val="A676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5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7AE"/>
    <w:rsid w:val="000C519A"/>
    <w:rsid w:val="001669EF"/>
    <w:rsid w:val="003827AE"/>
    <w:rsid w:val="005265F0"/>
    <w:rsid w:val="00A70AA1"/>
    <w:rsid w:val="00AA4DFF"/>
    <w:rsid w:val="00B913D5"/>
    <w:rsid w:val="00C92D44"/>
    <w:rsid w:val="00D92C6C"/>
    <w:rsid w:val="00E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8589"/>
  <w15:docId w15:val="{62CDBE02-54BA-4CCE-B1DE-5B90E0A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ED10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p.niedzialkowski</dc:creator>
  <cp:keywords/>
  <dc:description/>
  <cp:lastModifiedBy>Piotr Niedziałkowski</cp:lastModifiedBy>
  <cp:revision>6</cp:revision>
  <dcterms:created xsi:type="dcterms:W3CDTF">2022-09-22T07:36:00Z</dcterms:created>
  <dcterms:modified xsi:type="dcterms:W3CDTF">2024-09-23T12:49:00Z</dcterms:modified>
</cp:coreProperties>
</file>