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297B" w14:textId="73C1F32D" w:rsidR="00AE34D6" w:rsidRPr="002F61AF" w:rsidRDefault="00AE34D6" w:rsidP="00AE34D6">
      <w:pPr>
        <w:spacing w:after="0" w:line="240" w:lineRule="auto"/>
        <w:ind w:left="5670" w:firstLine="6"/>
        <w:rPr>
          <w:rFonts w:ascii="Times New Roman" w:eastAsia="Times New Roman" w:hAnsi="Times New Roman"/>
          <w:bCs/>
          <w:sz w:val="20"/>
          <w:szCs w:val="20"/>
        </w:rPr>
      </w:pPr>
      <w:bookmarkStart w:id="0" w:name="_Hlk135986027"/>
      <w:bookmarkStart w:id="1" w:name="_Toc181710730"/>
      <w:bookmarkStart w:id="2" w:name="_Toc460949462"/>
      <w:r w:rsidRPr="00A957D3">
        <w:rPr>
          <w:rFonts w:ascii="Times New Roman" w:eastAsia="Times New Roman" w:hAnsi="Times New Roman"/>
          <w:sz w:val="20"/>
          <w:szCs w:val="20"/>
        </w:rPr>
        <w:t>Załącznik</w:t>
      </w:r>
      <w:r>
        <w:rPr>
          <w:rFonts w:ascii="Times New Roman" w:eastAsia="Times New Roman" w:hAnsi="Times New Roman"/>
          <w:sz w:val="20"/>
          <w:szCs w:val="20"/>
        </w:rPr>
        <w:t xml:space="preserve"> </w:t>
      </w:r>
      <w:r w:rsidRPr="00A957D3">
        <w:rPr>
          <w:rFonts w:ascii="Times New Roman" w:eastAsia="Times New Roman" w:hAnsi="Times New Roman"/>
          <w:sz w:val="20"/>
          <w:szCs w:val="20"/>
        </w:rPr>
        <w:t xml:space="preserve">do uchwały </w:t>
      </w:r>
      <w:r w:rsidRPr="002F61AF">
        <w:rPr>
          <w:rFonts w:ascii="Times New Roman" w:eastAsia="Times New Roman" w:hAnsi="Times New Roman"/>
          <w:bCs/>
          <w:sz w:val="20"/>
          <w:szCs w:val="20"/>
        </w:rPr>
        <w:t>N</w:t>
      </w:r>
      <w:r>
        <w:rPr>
          <w:rFonts w:ascii="Times New Roman" w:eastAsia="Times New Roman" w:hAnsi="Times New Roman"/>
          <w:bCs/>
          <w:sz w:val="20"/>
          <w:szCs w:val="20"/>
        </w:rPr>
        <w:t>r</w:t>
      </w:r>
      <w:r w:rsidRPr="002F61AF">
        <w:rPr>
          <w:rFonts w:ascii="Times New Roman" w:eastAsia="Times New Roman" w:hAnsi="Times New Roman"/>
          <w:bCs/>
          <w:sz w:val="20"/>
          <w:szCs w:val="20"/>
        </w:rPr>
        <w:t xml:space="preserve"> </w:t>
      </w:r>
      <w:r w:rsidR="00D60F8E">
        <w:rPr>
          <w:rFonts w:ascii="Times New Roman" w:eastAsia="Times New Roman" w:hAnsi="Times New Roman"/>
          <w:bCs/>
          <w:sz w:val="20"/>
          <w:szCs w:val="20"/>
        </w:rPr>
        <w:t>4</w:t>
      </w:r>
      <w:r w:rsidR="003319A0">
        <w:rPr>
          <w:rFonts w:ascii="Times New Roman" w:eastAsia="Times New Roman" w:hAnsi="Times New Roman"/>
          <w:bCs/>
          <w:sz w:val="20"/>
          <w:szCs w:val="20"/>
        </w:rPr>
        <w:t>4</w:t>
      </w:r>
      <w:r w:rsidR="00D60F8E">
        <w:rPr>
          <w:rFonts w:ascii="Times New Roman" w:eastAsia="Times New Roman" w:hAnsi="Times New Roman"/>
          <w:bCs/>
          <w:sz w:val="20"/>
          <w:szCs w:val="20"/>
        </w:rPr>
        <w:t>/2</w:t>
      </w:r>
      <w:r w:rsidR="003319A0">
        <w:rPr>
          <w:rFonts w:ascii="Times New Roman" w:eastAsia="Times New Roman" w:hAnsi="Times New Roman"/>
          <w:bCs/>
          <w:sz w:val="20"/>
          <w:szCs w:val="20"/>
        </w:rPr>
        <w:t>051</w:t>
      </w:r>
      <w:r w:rsidR="00D60F8E">
        <w:rPr>
          <w:rFonts w:ascii="Times New Roman" w:eastAsia="Times New Roman" w:hAnsi="Times New Roman"/>
          <w:bCs/>
          <w:sz w:val="20"/>
          <w:szCs w:val="20"/>
        </w:rPr>
        <w:t>/25</w:t>
      </w:r>
    </w:p>
    <w:p w14:paraId="25AB0C2E" w14:textId="77777777" w:rsidR="00AE34D6" w:rsidRPr="002F61AF" w:rsidRDefault="00AE34D6" w:rsidP="00AE34D6">
      <w:pPr>
        <w:spacing w:after="0" w:line="240" w:lineRule="auto"/>
        <w:ind w:left="5670"/>
        <w:rPr>
          <w:rFonts w:ascii="Times New Roman" w:eastAsia="Times New Roman" w:hAnsi="Times New Roman"/>
          <w:bCs/>
          <w:sz w:val="20"/>
          <w:szCs w:val="20"/>
        </w:rPr>
      </w:pPr>
      <w:r w:rsidRPr="002F61AF">
        <w:rPr>
          <w:rFonts w:ascii="Times New Roman" w:eastAsia="Times New Roman" w:hAnsi="Times New Roman"/>
          <w:bCs/>
          <w:sz w:val="20"/>
          <w:szCs w:val="20"/>
        </w:rPr>
        <w:t>Zarz</w:t>
      </w:r>
      <w:r w:rsidRPr="002F61AF">
        <w:rPr>
          <w:rFonts w:ascii="Times New Roman" w:eastAsia="Times New Roman" w:hAnsi="Times New Roman"/>
          <w:sz w:val="20"/>
          <w:szCs w:val="20"/>
        </w:rPr>
        <w:t>ą</w:t>
      </w:r>
      <w:r w:rsidRPr="002F61AF">
        <w:rPr>
          <w:rFonts w:ascii="Times New Roman" w:eastAsia="Times New Roman" w:hAnsi="Times New Roman"/>
          <w:bCs/>
          <w:sz w:val="20"/>
          <w:szCs w:val="20"/>
        </w:rPr>
        <w:t>du Województwa Kujawsko-Pomorskiego</w:t>
      </w:r>
    </w:p>
    <w:p w14:paraId="2DFF18E7" w14:textId="238057BC" w:rsidR="00AE34D6" w:rsidRDefault="00AE34D6" w:rsidP="00AE34D6">
      <w:pPr>
        <w:spacing w:after="0" w:line="240" w:lineRule="auto"/>
        <w:ind w:left="5670"/>
        <w:rPr>
          <w:rFonts w:ascii="Times New Roman" w:eastAsia="Times New Roman" w:hAnsi="Times New Roman"/>
          <w:bCs/>
          <w:sz w:val="20"/>
          <w:szCs w:val="20"/>
        </w:rPr>
      </w:pPr>
      <w:r w:rsidRPr="002F61AF">
        <w:rPr>
          <w:rFonts w:ascii="Times New Roman" w:eastAsia="Times New Roman" w:hAnsi="Times New Roman"/>
          <w:bCs/>
          <w:sz w:val="20"/>
          <w:szCs w:val="20"/>
        </w:rPr>
        <w:t>z dni</w:t>
      </w:r>
      <w:r w:rsidR="003319A0">
        <w:rPr>
          <w:rFonts w:ascii="Times New Roman" w:eastAsia="Times New Roman" w:hAnsi="Times New Roman"/>
          <w:bCs/>
          <w:sz w:val="20"/>
          <w:szCs w:val="20"/>
        </w:rPr>
        <w:t xml:space="preserve">a 3 marca </w:t>
      </w:r>
      <w:r w:rsidR="00D60F8E">
        <w:rPr>
          <w:rFonts w:ascii="Times New Roman" w:eastAsia="Times New Roman" w:hAnsi="Times New Roman"/>
          <w:bCs/>
          <w:sz w:val="20"/>
          <w:szCs w:val="20"/>
        </w:rPr>
        <w:t>2025r.</w:t>
      </w:r>
      <w:r w:rsidRPr="002F61AF">
        <w:rPr>
          <w:rFonts w:ascii="Times New Roman" w:eastAsia="Times New Roman" w:hAnsi="Times New Roman"/>
          <w:bCs/>
          <w:sz w:val="20"/>
          <w:szCs w:val="20"/>
        </w:rPr>
        <w:t>r.</w:t>
      </w:r>
    </w:p>
    <w:p w14:paraId="2E6B27BE" w14:textId="77777777" w:rsidR="00AE34D6" w:rsidRPr="002F61AF" w:rsidRDefault="00AE34D6" w:rsidP="00AE34D6">
      <w:pPr>
        <w:spacing w:after="0" w:line="240" w:lineRule="auto"/>
        <w:ind w:left="5670"/>
        <w:rPr>
          <w:rFonts w:ascii="Times New Roman" w:eastAsia="Times New Roman" w:hAnsi="Times New Roman"/>
          <w:bCs/>
          <w:sz w:val="20"/>
          <w:szCs w:val="20"/>
        </w:rPr>
      </w:pPr>
    </w:p>
    <w:p w14:paraId="5FE064FC" w14:textId="77777777" w:rsidR="00AE34D6" w:rsidRPr="00537B35" w:rsidRDefault="00AE34D6" w:rsidP="00AE34D6">
      <w:pPr>
        <w:jc w:val="center"/>
        <w:rPr>
          <w:b/>
          <w:bCs/>
          <w:color w:val="FF0000"/>
        </w:rPr>
      </w:pPr>
      <w:r w:rsidRPr="00B770BB">
        <w:rPr>
          <w:b/>
          <w:bCs/>
        </w:rPr>
        <w:t>Regulamin akredytacji usług specjalistycznych świadczonych przez IOB</w:t>
      </w:r>
      <w:r>
        <w:rPr>
          <w:b/>
          <w:bCs/>
        </w:rPr>
        <w:t xml:space="preserve"> </w:t>
      </w:r>
    </w:p>
    <w:p w14:paraId="3E8F03E5" w14:textId="77777777" w:rsidR="00AE34D6" w:rsidRPr="00B770BB" w:rsidRDefault="00AE34D6" w:rsidP="00AE34D6">
      <w:pPr>
        <w:jc w:val="center"/>
        <w:rPr>
          <w:b/>
          <w:bCs/>
        </w:rPr>
      </w:pPr>
      <w:r w:rsidRPr="00B770BB">
        <w:rPr>
          <w:b/>
          <w:bCs/>
        </w:rPr>
        <w:t>§ 1. Postanowienia ogólne</w:t>
      </w:r>
    </w:p>
    <w:p w14:paraId="0F9534B2" w14:textId="77777777" w:rsidR="00AE34D6" w:rsidRPr="00B770BB" w:rsidRDefault="00AE34D6" w:rsidP="00AE34D6">
      <w:pPr>
        <w:pStyle w:val="Akapitzlist"/>
        <w:numPr>
          <w:ilvl w:val="0"/>
          <w:numId w:val="33"/>
        </w:numPr>
        <w:jc w:val="both"/>
      </w:pPr>
      <w:bookmarkStart w:id="3" w:name="_Ref190170052"/>
      <w:r w:rsidRPr="00B770BB">
        <w:t>Regulamin akredytacji usług specjalistycznych świadczonych przez IOB, zwany dalej „Regulaminem”, określa zasady naboru, wymagania oraz proces oceny wniosków o udzielenie akredytacji na specjalistyczne usługi doradcze Instytucji Otoczenia Biznesu województwa kujawsko-pomorskiego, a także określa obowiązki instytucji po uzyskaniu akredytacji.</w:t>
      </w:r>
      <w:bookmarkEnd w:id="3"/>
    </w:p>
    <w:p w14:paraId="6A135599" w14:textId="77777777" w:rsidR="00AE34D6" w:rsidRPr="00B770BB" w:rsidRDefault="00AE34D6" w:rsidP="00AE34D6">
      <w:pPr>
        <w:pStyle w:val="Akapitzlist"/>
        <w:numPr>
          <w:ilvl w:val="0"/>
          <w:numId w:val="33"/>
        </w:numPr>
        <w:jc w:val="both"/>
      </w:pPr>
      <w:r w:rsidRPr="00B770BB">
        <w:t>Organizatorem naboru jest Jednostka akredytująca.</w:t>
      </w:r>
    </w:p>
    <w:p w14:paraId="02C7AC9F" w14:textId="77777777" w:rsidR="00AE34D6" w:rsidRPr="00B770BB" w:rsidRDefault="00AE34D6" w:rsidP="00AE34D6"/>
    <w:p w14:paraId="413601AA" w14:textId="77777777" w:rsidR="00AE34D6" w:rsidRPr="00B770BB" w:rsidRDefault="00AE34D6" w:rsidP="00AE34D6">
      <w:pPr>
        <w:jc w:val="center"/>
        <w:rPr>
          <w:b/>
          <w:bCs/>
        </w:rPr>
      </w:pPr>
      <w:r w:rsidRPr="00B770BB">
        <w:rPr>
          <w:b/>
          <w:bCs/>
        </w:rPr>
        <w:t>§ 2. Słownik pojęć</w:t>
      </w:r>
    </w:p>
    <w:p w14:paraId="4FEAAF8D" w14:textId="77777777" w:rsidR="00AE34D6" w:rsidRPr="00B770BB" w:rsidRDefault="00AE34D6" w:rsidP="00AE34D6">
      <w:pPr>
        <w:jc w:val="both"/>
      </w:pPr>
      <w:r w:rsidRPr="00B770BB">
        <w:t>Użyte w Regulaminie pojęcia oznaczają:</w:t>
      </w:r>
    </w:p>
    <w:p w14:paraId="795D8810" w14:textId="77777777" w:rsidR="00AE34D6" w:rsidRPr="00B770BB" w:rsidRDefault="00AE34D6" w:rsidP="00AE34D6">
      <w:pPr>
        <w:pStyle w:val="Akapitzlist"/>
        <w:numPr>
          <w:ilvl w:val="0"/>
          <w:numId w:val="34"/>
        </w:numPr>
        <w:jc w:val="both"/>
      </w:pPr>
      <w:bookmarkStart w:id="4" w:name="_Hlk133145429"/>
      <w:r w:rsidRPr="00B770BB">
        <w:rPr>
          <w:b/>
          <w:bCs/>
        </w:rPr>
        <w:t>Akredytacja</w:t>
      </w:r>
      <w:r w:rsidRPr="00B770BB">
        <w:t xml:space="preserve"> – potwierdzenie jakości usług. </w:t>
      </w:r>
    </w:p>
    <w:p w14:paraId="1439D7D5" w14:textId="77777777" w:rsidR="00AE34D6" w:rsidRPr="00B770BB" w:rsidRDefault="00AE34D6" w:rsidP="00AE34D6">
      <w:pPr>
        <w:pStyle w:val="Akapitzlist"/>
        <w:numPr>
          <w:ilvl w:val="0"/>
          <w:numId w:val="34"/>
        </w:numPr>
        <w:jc w:val="both"/>
      </w:pPr>
      <w:r w:rsidRPr="00B770BB">
        <w:rPr>
          <w:b/>
          <w:bCs/>
        </w:rPr>
        <w:t>Instytucja Otoczenia Biznesu (IOB)</w:t>
      </w:r>
      <w:r w:rsidRPr="00B770BB">
        <w:t xml:space="preserve"> – każdy podmiot bez względu na formę prawną, prowadzący działalność na rzecz rozwoju przedsiębiorczości i innowacyjności, niedziałający dla zysku lub przeznaczający zysk na cele statutowe zgodnie z zapisami w statucie lub innym równoważnym dokumencie założycielskim, posiadający bazę materialną, techniczną i zasoby ludzkie oraz kompetencyjne niezbędne do świadczenia usług na rzecz sektora MŚP</w:t>
      </w:r>
      <w:r>
        <w:t>.</w:t>
      </w:r>
    </w:p>
    <w:p w14:paraId="0A19D056" w14:textId="77777777" w:rsidR="00AE34D6" w:rsidRPr="00B770BB" w:rsidRDefault="00AE34D6" w:rsidP="00AE34D6">
      <w:pPr>
        <w:pStyle w:val="Akapitzlist"/>
        <w:numPr>
          <w:ilvl w:val="0"/>
          <w:numId w:val="34"/>
        </w:numPr>
        <w:jc w:val="both"/>
      </w:pPr>
      <w:r w:rsidRPr="00B770BB">
        <w:rPr>
          <w:b/>
          <w:bCs/>
        </w:rPr>
        <w:t>Jednostka akredytująca</w:t>
      </w:r>
      <w:r w:rsidRPr="00B770BB">
        <w:t xml:space="preserve"> – instytucja odpowiedzialna za przeprowadzenie procesu akredytacji. </w:t>
      </w:r>
    </w:p>
    <w:p w14:paraId="1B5A316F" w14:textId="77777777" w:rsidR="00AE34D6" w:rsidRPr="00B770BB" w:rsidRDefault="00AE34D6" w:rsidP="00AE34D6">
      <w:pPr>
        <w:pStyle w:val="Akapitzlist"/>
        <w:numPr>
          <w:ilvl w:val="0"/>
          <w:numId w:val="34"/>
        </w:numPr>
        <w:jc w:val="both"/>
      </w:pPr>
      <w:r w:rsidRPr="00B770BB">
        <w:rPr>
          <w:b/>
          <w:bCs/>
        </w:rPr>
        <w:t>Katalog specjalistycznych usług doradczych</w:t>
      </w:r>
      <w:r w:rsidRPr="00B770BB">
        <w:t xml:space="preserve"> – lista usług, na które udzielana jest akredytacja.</w:t>
      </w:r>
    </w:p>
    <w:p w14:paraId="6E274005" w14:textId="77777777" w:rsidR="00AE34D6" w:rsidRDefault="00AE34D6" w:rsidP="00AE34D6">
      <w:pPr>
        <w:pStyle w:val="Akapitzlist"/>
        <w:numPr>
          <w:ilvl w:val="0"/>
          <w:numId w:val="34"/>
        </w:numPr>
        <w:jc w:val="both"/>
      </w:pPr>
      <w:r w:rsidRPr="00B770BB">
        <w:rPr>
          <w:b/>
          <w:bCs/>
        </w:rPr>
        <w:t>Model świadczenia specjalistycznej usługi</w:t>
      </w:r>
      <w:r w:rsidRPr="00B770BB">
        <w:t xml:space="preserve"> – ustandaryzowane rodzaje czynności podejmowane z klientem podczas realizacji usługi zapewniające kompleksowe wsparcie w jednym miejscu na wszystkich etapach.</w:t>
      </w:r>
    </w:p>
    <w:p w14:paraId="72CFF1B4" w14:textId="77777777" w:rsidR="00AE34D6" w:rsidRPr="00B770BB" w:rsidRDefault="00AE34D6" w:rsidP="00AE34D6">
      <w:pPr>
        <w:pStyle w:val="Akapitzlist"/>
        <w:numPr>
          <w:ilvl w:val="0"/>
          <w:numId w:val="34"/>
        </w:numPr>
        <w:jc w:val="both"/>
      </w:pPr>
      <w:r w:rsidRPr="00B770BB">
        <w:rPr>
          <w:b/>
          <w:bCs/>
        </w:rPr>
        <w:t>MŚP</w:t>
      </w:r>
      <w:r>
        <w:rPr>
          <w:rStyle w:val="Odwoanieprzypisudolnego"/>
          <w:b/>
          <w:bCs/>
        </w:rPr>
        <w:footnoteReference w:id="1"/>
      </w:r>
      <w:r w:rsidRPr="00B770BB">
        <w:rPr>
          <w:b/>
          <w:bCs/>
        </w:rPr>
        <w:t xml:space="preserve"> </w:t>
      </w:r>
      <w:r w:rsidRPr="00B770BB">
        <w:t>– mikroprzedsiębiorstwa, małe i średnie przedsiębiorstwa spełniające warunki:</w:t>
      </w:r>
    </w:p>
    <w:p w14:paraId="2E788A31" w14:textId="77777777" w:rsidR="00AE34D6" w:rsidRPr="00B770BB" w:rsidRDefault="00AE34D6" w:rsidP="002F256A">
      <w:pPr>
        <w:pStyle w:val="Akapitzlist"/>
        <w:numPr>
          <w:ilvl w:val="0"/>
          <w:numId w:val="45"/>
        </w:numPr>
        <w:jc w:val="both"/>
      </w:pPr>
      <w:r w:rsidRPr="00B770BB">
        <w:rPr>
          <w:b/>
          <w:bCs/>
        </w:rPr>
        <w:t>mikro</w:t>
      </w:r>
      <w:r w:rsidRPr="00B770BB">
        <w:t xml:space="preserve"> (przedsiębiorstwo zatrudniające mniej niż 10 osób, którego obroty roczne i/lub roczna suma bilansowa nie przekracza 2 mln EUR)</w:t>
      </w:r>
      <w:r>
        <w:t>,</w:t>
      </w:r>
    </w:p>
    <w:p w14:paraId="615A40C2" w14:textId="77777777" w:rsidR="00AE34D6" w:rsidRPr="00B770BB" w:rsidRDefault="00AE34D6" w:rsidP="002F256A">
      <w:pPr>
        <w:pStyle w:val="Akapitzlist"/>
        <w:numPr>
          <w:ilvl w:val="0"/>
          <w:numId w:val="45"/>
        </w:numPr>
        <w:jc w:val="both"/>
      </w:pPr>
      <w:r w:rsidRPr="00B770BB">
        <w:rPr>
          <w:b/>
          <w:bCs/>
        </w:rPr>
        <w:t>małe</w:t>
      </w:r>
      <w:r w:rsidRPr="00B770BB">
        <w:t xml:space="preserve"> (przedsiębiorstwo zatrudniające mniej niż 50 osób, którego obroty roczne i/lub roczna suma bilansowa nie przekracza 10 mln EUR)</w:t>
      </w:r>
      <w:r>
        <w:t>,</w:t>
      </w:r>
    </w:p>
    <w:p w14:paraId="5E732CD7" w14:textId="77777777" w:rsidR="00AE34D6" w:rsidRPr="00B770BB" w:rsidRDefault="00AE34D6" w:rsidP="002F256A">
      <w:pPr>
        <w:pStyle w:val="Akapitzlist"/>
        <w:numPr>
          <w:ilvl w:val="0"/>
          <w:numId w:val="45"/>
        </w:numPr>
        <w:jc w:val="both"/>
      </w:pPr>
      <w:r w:rsidRPr="00B770BB">
        <w:rPr>
          <w:b/>
          <w:bCs/>
        </w:rPr>
        <w:t xml:space="preserve">średnie </w:t>
      </w:r>
      <w:r w:rsidRPr="00B770BB">
        <w:t>(przedsiębiorstwo zatrudniające mniej niż 250 osób, którego obroty roczne nie przekraczają 50 mln EUR i/lub roczna suma bilansowa nie przekracza 43 mln EUR)</w:t>
      </w:r>
      <w:bookmarkStart w:id="5" w:name="_Hlk133331586"/>
      <w:r>
        <w:t>.</w:t>
      </w:r>
    </w:p>
    <w:p w14:paraId="038C1032" w14:textId="77777777" w:rsidR="00AE34D6" w:rsidRPr="00B770BB" w:rsidRDefault="00AE34D6" w:rsidP="00AE34D6">
      <w:pPr>
        <w:pStyle w:val="Akapitzlist"/>
        <w:numPr>
          <w:ilvl w:val="0"/>
          <w:numId w:val="34"/>
        </w:numPr>
        <w:jc w:val="both"/>
      </w:pPr>
      <w:r w:rsidRPr="005603BF">
        <w:rPr>
          <w:b/>
          <w:bCs/>
        </w:rPr>
        <w:t>Specjalistyczna usługa doradcza</w:t>
      </w:r>
      <w:r w:rsidRPr="00B770BB">
        <w:t xml:space="preserve"> </w:t>
      </w:r>
      <w:bookmarkEnd w:id="5"/>
      <w:r w:rsidRPr="00B770BB">
        <w:t xml:space="preserve">– </w:t>
      </w:r>
      <w:bookmarkStart w:id="6" w:name="_Hlk133331616"/>
      <w:r w:rsidRPr="00B770BB">
        <w:t>usługa unikatowa, zróżnicowana ze względu na podmiot</w:t>
      </w:r>
      <w:r w:rsidRPr="00B770BB">
        <w:br/>
        <w:t>i potrzeby, skoncentrowana na dokładnej diagnozie i zachowaniu ciągłości współpracy z klientem, świadczona w oparciu o wiedzę ekspertów posiadających niezbędne umiejętności (kompetencje, kwalifikacje) i doświadczenie praktyczne, nastawiona na rozwój działalności lub wprowadzenie działalności innowacyjnej w zakresie wytwarzanych produktów i świadczonych usług biznesowych</w:t>
      </w:r>
      <w:bookmarkEnd w:id="6"/>
      <w:r w:rsidRPr="00B770BB">
        <w:t>.</w:t>
      </w:r>
    </w:p>
    <w:p w14:paraId="2F560AB5" w14:textId="77777777" w:rsidR="00AE34D6" w:rsidRPr="00B770BB" w:rsidRDefault="00AE34D6" w:rsidP="00AE34D6">
      <w:pPr>
        <w:pStyle w:val="Akapitzlist"/>
        <w:numPr>
          <w:ilvl w:val="0"/>
          <w:numId w:val="34"/>
        </w:numPr>
        <w:jc w:val="both"/>
      </w:pPr>
      <w:r w:rsidRPr="00B770BB">
        <w:rPr>
          <w:b/>
          <w:bCs/>
        </w:rPr>
        <w:t>System akredytacji specjalistycznych usług doradczych</w:t>
      </w:r>
      <w:r w:rsidRPr="00B770BB">
        <w:t xml:space="preserve"> – proces potwierdzający kompetencje i poziom usług IOB, obejmujący zestaw wymagań dotyczących standardów działania i zasobów niezbędnych do świadczenia wysokiej jakości usług. </w:t>
      </w:r>
    </w:p>
    <w:bookmarkEnd w:id="4"/>
    <w:p w14:paraId="12E5929B" w14:textId="77777777" w:rsidR="00AE34D6" w:rsidRPr="00B770BB" w:rsidRDefault="00AE34D6" w:rsidP="00AE34D6"/>
    <w:p w14:paraId="0C35F76A" w14:textId="77777777" w:rsidR="00AE34D6" w:rsidRPr="00B770BB" w:rsidRDefault="00AE34D6" w:rsidP="00AE34D6">
      <w:pPr>
        <w:jc w:val="center"/>
        <w:rPr>
          <w:b/>
          <w:bCs/>
        </w:rPr>
      </w:pPr>
      <w:r w:rsidRPr="00B770BB">
        <w:rPr>
          <w:b/>
          <w:bCs/>
        </w:rPr>
        <w:t>§ 3. Cel akredytacji</w:t>
      </w:r>
    </w:p>
    <w:p w14:paraId="0D614C57" w14:textId="77777777" w:rsidR="00AE34D6" w:rsidRPr="00B770BB" w:rsidRDefault="00AE34D6" w:rsidP="00AE34D6">
      <w:pPr>
        <w:pStyle w:val="Akapitzlist"/>
        <w:numPr>
          <w:ilvl w:val="0"/>
          <w:numId w:val="35"/>
        </w:numPr>
        <w:jc w:val="both"/>
      </w:pPr>
      <w:r w:rsidRPr="00B770BB">
        <w:t xml:space="preserve">Celem głównym akredytacji </w:t>
      </w:r>
      <w:bookmarkStart w:id="7" w:name="_Hlk133325467"/>
      <w:r w:rsidRPr="00B770BB">
        <w:t xml:space="preserve">jest rozwój przedsiębiorstw </w:t>
      </w:r>
      <w:r>
        <w:t xml:space="preserve">z sektora MŚP </w:t>
      </w:r>
      <w:r w:rsidRPr="00B770BB">
        <w:t>poprzez dostarczenie wysokiej jakości usług świadczonych przez IOB</w:t>
      </w:r>
      <w:r>
        <w:t>.</w:t>
      </w:r>
    </w:p>
    <w:bookmarkEnd w:id="7"/>
    <w:p w14:paraId="68BA6D3C" w14:textId="77777777" w:rsidR="00AE34D6" w:rsidRPr="00B770BB" w:rsidRDefault="00AE34D6" w:rsidP="00AE34D6">
      <w:pPr>
        <w:pStyle w:val="Akapitzlist"/>
        <w:numPr>
          <w:ilvl w:val="0"/>
          <w:numId w:val="35"/>
        </w:numPr>
        <w:jc w:val="both"/>
      </w:pPr>
      <w:r w:rsidRPr="00B770BB">
        <w:t xml:space="preserve">Przedstawiony cel główny zostanie osiągnięty poprzez wyłonienie spośród IOB działających na terenie województwa kujawsko-pomorskiego podmiotów przygotowanych do świadczenia odpowiedniej jakości usług specjalistycznych. </w:t>
      </w:r>
    </w:p>
    <w:p w14:paraId="52FD8983" w14:textId="77777777" w:rsidR="00AE34D6" w:rsidRPr="00B770BB" w:rsidRDefault="00AE34D6" w:rsidP="00AE34D6"/>
    <w:p w14:paraId="639143F3" w14:textId="77777777" w:rsidR="00AE34D6" w:rsidRPr="00B770BB" w:rsidRDefault="00AE34D6" w:rsidP="00AE34D6">
      <w:pPr>
        <w:jc w:val="center"/>
        <w:rPr>
          <w:b/>
          <w:bCs/>
        </w:rPr>
      </w:pPr>
      <w:r w:rsidRPr="00B770BB">
        <w:rPr>
          <w:b/>
          <w:bCs/>
        </w:rPr>
        <w:t>§ 4. Zasady Naboru</w:t>
      </w:r>
    </w:p>
    <w:p w14:paraId="56E8A78E" w14:textId="77777777" w:rsidR="00AE34D6" w:rsidRPr="00B770BB" w:rsidRDefault="00AE34D6" w:rsidP="00AE34D6">
      <w:pPr>
        <w:pStyle w:val="Akapitzlist"/>
        <w:numPr>
          <w:ilvl w:val="0"/>
          <w:numId w:val="36"/>
        </w:numPr>
        <w:jc w:val="both"/>
      </w:pPr>
      <w:r w:rsidRPr="00B770BB">
        <w:t>Akredytacja udzielana jest na usługi świadczone przez IOB.</w:t>
      </w:r>
    </w:p>
    <w:p w14:paraId="3670CA1A" w14:textId="77777777" w:rsidR="00AE34D6" w:rsidRPr="00B770BB" w:rsidRDefault="00AE34D6" w:rsidP="00AE34D6">
      <w:pPr>
        <w:pStyle w:val="Akapitzlist"/>
        <w:numPr>
          <w:ilvl w:val="0"/>
          <w:numId w:val="36"/>
        </w:numPr>
        <w:jc w:val="both"/>
      </w:pPr>
      <w:r w:rsidRPr="00412C4F">
        <w:t xml:space="preserve">Złożenie wniosku o akredytację jest dobrowolne </w:t>
      </w:r>
      <w:r w:rsidRPr="00B770BB">
        <w:t>i bezpłatn</w:t>
      </w:r>
      <w:r>
        <w:t>e</w:t>
      </w:r>
      <w:r w:rsidRPr="00B770BB">
        <w:t xml:space="preserve">. </w:t>
      </w:r>
    </w:p>
    <w:p w14:paraId="20062748" w14:textId="77777777" w:rsidR="00AE34D6" w:rsidRPr="00C025EA" w:rsidRDefault="00AE34D6" w:rsidP="00AE34D6">
      <w:pPr>
        <w:pStyle w:val="Akapitzlist"/>
        <w:numPr>
          <w:ilvl w:val="0"/>
          <w:numId w:val="36"/>
        </w:numPr>
        <w:jc w:val="both"/>
        <w:rPr>
          <w:color w:val="000000" w:themeColor="text1"/>
        </w:rPr>
      </w:pPr>
      <w:r w:rsidRPr="00C025EA">
        <w:rPr>
          <w:color w:val="000000" w:themeColor="text1"/>
        </w:rPr>
        <w:t>Za proces akredytacji odpowiada Jednostka akredytująca.</w:t>
      </w:r>
    </w:p>
    <w:p w14:paraId="271DB4D9" w14:textId="77777777" w:rsidR="00AE34D6" w:rsidRPr="00C025EA" w:rsidRDefault="00AE34D6" w:rsidP="00AE34D6">
      <w:pPr>
        <w:pStyle w:val="Akapitzlist"/>
        <w:numPr>
          <w:ilvl w:val="0"/>
          <w:numId w:val="36"/>
        </w:numPr>
        <w:jc w:val="both"/>
        <w:rPr>
          <w:color w:val="000000" w:themeColor="text1"/>
        </w:rPr>
      </w:pPr>
      <w:r w:rsidRPr="00C025EA">
        <w:rPr>
          <w:color w:val="000000" w:themeColor="text1"/>
        </w:rPr>
        <w:t>Proces akredytacji ma charakter ciągły.</w:t>
      </w:r>
      <w:bookmarkStart w:id="8" w:name="_Hlk133326172"/>
    </w:p>
    <w:p w14:paraId="39AFAB72" w14:textId="77777777" w:rsidR="00AE34D6" w:rsidRPr="00C025EA" w:rsidRDefault="00AE34D6" w:rsidP="00AE34D6">
      <w:pPr>
        <w:pStyle w:val="Akapitzlist"/>
        <w:numPr>
          <w:ilvl w:val="0"/>
          <w:numId w:val="36"/>
        </w:numPr>
        <w:jc w:val="both"/>
        <w:rPr>
          <w:color w:val="000000" w:themeColor="text1"/>
        </w:rPr>
      </w:pPr>
      <w:r w:rsidRPr="00C025EA">
        <w:rPr>
          <w:color w:val="000000" w:themeColor="text1"/>
        </w:rPr>
        <w:t>O akredytację mogą ubiegać się podmioty wpisujące się w definicję IOB określoną w Regulaminie, posiadające od co najmniej 12 miesięcy zarejestrowaną siedzibę, oddział lub filię w województwie kujawsko-pomorskim. Ponadto podmiot powinien posiadać w KRS usługi doradcze dla biznesu.</w:t>
      </w:r>
    </w:p>
    <w:bookmarkEnd w:id="8"/>
    <w:p w14:paraId="2350FA40" w14:textId="1840EF3E" w:rsidR="00AE34D6" w:rsidRPr="00C025EA" w:rsidRDefault="00AE34D6" w:rsidP="00AE34D6">
      <w:pPr>
        <w:pStyle w:val="Akapitzlist"/>
        <w:numPr>
          <w:ilvl w:val="0"/>
          <w:numId w:val="36"/>
        </w:numPr>
        <w:jc w:val="both"/>
        <w:rPr>
          <w:color w:val="000000" w:themeColor="text1"/>
        </w:rPr>
      </w:pPr>
      <w:r w:rsidRPr="00C025EA">
        <w:rPr>
          <w:color w:val="000000" w:themeColor="text1"/>
        </w:rPr>
        <w:t>Wniosek o akredytację stanowiący załącznik nr 1 do Regulaminu wraz z wymaganymi załącznikami:</w:t>
      </w:r>
    </w:p>
    <w:p w14:paraId="749D27D0" w14:textId="77777777" w:rsidR="00AE34D6" w:rsidRPr="00C025EA" w:rsidRDefault="00AE34D6" w:rsidP="002F256A">
      <w:pPr>
        <w:pStyle w:val="Akapitzlist"/>
        <w:numPr>
          <w:ilvl w:val="0"/>
          <w:numId w:val="46"/>
        </w:numPr>
        <w:rPr>
          <w:color w:val="000000" w:themeColor="text1"/>
        </w:rPr>
      </w:pPr>
      <w:r w:rsidRPr="00C025EA">
        <w:rPr>
          <w:color w:val="000000" w:themeColor="text1"/>
        </w:rPr>
        <w:t>Załącznik 1.1 Zestawienie zrealizowanych usług,</w:t>
      </w:r>
    </w:p>
    <w:p w14:paraId="4C0D4A1A" w14:textId="77777777" w:rsidR="00AE34D6" w:rsidRPr="00C025EA" w:rsidRDefault="00AE34D6" w:rsidP="002F256A">
      <w:pPr>
        <w:pStyle w:val="Akapitzlist"/>
        <w:numPr>
          <w:ilvl w:val="0"/>
          <w:numId w:val="46"/>
        </w:numPr>
        <w:rPr>
          <w:color w:val="000000" w:themeColor="text1"/>
        </w:rPr>
      </w:pPr>
      <w:r w:rsidRPr="00C025EA">
        <w:rPr>
          <w:color w:val="000000" w:themeColor="text1"/>
        </w:rPr>
        <w:t>Załącznik 1.2 Zestawienie przedsięwzięć,</w:t>
      </w:r>
    </w:p>
    <w:p w14:paraId="34E0A4E2" w14:textId="77777777" w:rsidR="00AE34D6" w:rsidRPr="00C025EA" w:rsidRDefault="00AE34D6" w:rsidP="002F256A">
      <w:pPr>
        <w:pStyle w:val="Akapitzlist"/>
        <w:numPr>
          <w:ilvl w:val="0"/>
          <w:numId w:val="46"/>
        </w:numPr>
        <w:rPr>
          <w:color w:val="000000" w:themeColor="text1"/>
        </w:rPr>
      </w:pPr>
      <w:r w:rsidRPr="00C025EA">
        <w:rPr>
          <w:color w:val="000000" w:themeColor="text1"/>
        </w:rPr>
        <w:t>Załącznik 1.3 Oświadczenie o niedziałaniu dla zysku,</w:t>
      </w:r>
    </w:p>
    <w:p w14:paraId="292238FC" w14:textId="77777777" w:rsidR="00AE34D6" w:rsidRPr="00C025EA" w:rsidRDefault="00AE34D6" w:rsidP="002F256A">
      <w:pPr>
        <w:pStyle w:val="Akapitzlist"/>
        <w:numPr>
          <w:ilvl w:val="0"/>
          <w:numId w:val="46"/>
        </w:numPr>
        <w:rPr>
          <w:color w:val="000000" w:themeColor="text1"/>
        </w:rPr>
      </w:pPr>
      <w:r w:rsidRPr="00C025EA">
        <w:rPr>
          <w:color w:val="000000" w:themeColor="text1"/>
        </w:rPr>
        <w:t>Załącznik 1.4 Oświadczenie o spełnieniu warunków finansowych,</w:t>
      </w:r>
    </w:p>
    <w:p w14:paraId="20F0EEF2" w14:textId="77777777" w:rsidR="00AE34D6" w:rsidRPr="00C025EA" w:rsidRDefault="00AE34D6" w:rsidP="00AE34D6">
      <w:pPr>
        <w:ind w:left="360"/>
        <w:jc w:val="both"/>
        <w:rPr>
          <w:color w:val="000000" w:themeColor="text1"/>
        </w:rPr>
      </w:pPr>
      <w:r w:rsidRPr="00C025EA">
        <w:rPr>
          <w:color w:val="000000" w:themeColor="text1"/>
        </w:rPr>
        <w:t>jest składany w wersji papierowej w siedzibie Jednostki akredytującej lub elektronicznej pod adresem wskazanym w ogłoszeniu o naborze (dokumenty składane elektronicznie powinny być podpisane podpisem kwalifikowalnym i przesłane na maila).</w:t>
      </w:r>
    </w:p>
    <w:p w14:paraId="560B73C2" w14:textId="2287337A" w:rsidR="00AE34D6" w:rsidRPr="00C025EA" w:rsidRDefault="00BB2522" w:rsidP="00BB2522">
      <w:pPr>
        <w:pStyle w:val="Akapitzlist"/>
        <w:numPr>
          <w:ilvl w:val="0"/>
          <w:numId w:val="36"/>
        </w:numPr>
        <w:jc w:val="both"/>
        <w:rPr>
          <w:color w:val="000000" w:themeColor="text1"/>
        </w:rPr>
      </w:pPr>
      <w:r w:rsidRPr="00C025EA">
        <w:rPr>
          <w:color w:val="000000" w:themeColor="text1"/>
        </w:rPr>
        <w:t xml:space="preserve">Poza załącznikami, o których mowa w ust. 6 powyżej, </w:t>
      </w:r>
      <w:r w:rsidR="00AE34D6" w:rsidRPr="00C025EA">
        <w:rPr>
          <w:color w:val="000000" w:themeColor="text1"/>
        </w:rPr>
        <w:t>IOB załącza dokumenty niezbędne do weryfikacji danych zawartych we wniosku (załącznik nr 4 Kryteria oceny wniosku o akredytację oraz załącznik nr 5 Arkusz oceny wniosku o akredytację).</w:t>
      </w:r>
    </w:p>
    <w:p w14:paraId="1064BC03" w14:textId="77777777" w:rsidR="00AE34D6" w:rsidRPr="00412C4F" w:rsidRDefault="00AE34D6" w:rsidP="00AE34D6">
      <w:pPr>
        <w:pStyle w:val="Akapitzlist"/>
        <w:numPr>
          <w:ilvl w:val="0"/>
          <w:numId w:val="36"/>
        </w:numPr>
        <w:jc w:val="both"/>
      </w:pPr>
      <w:r w:rsidRPr="00C025EA">
        <w:rPr>
          <w:color w:val="000000" w:themeColor="text1"/>
        </w:rPr>
        <w:t xml:space="preserve">IOB składa wniosek o akredytację na usługi wybrane z Katalogu specjalistycznych usług doradczych stanowiącego załącznik nr 3 do Regulaminu lub na nowe usługi nieskategoryzowane przez Jednostkę akredytującą, wskazując jednocześnie na charakter specjalistycznej usługi doradczej i </w:t>
      </w:r>
      <w:r w:rsidRPr="00412C4F">
        <w:t>przyporządkowując ją do wybranej grupy usług z ww. Katalogu specjalistycznych usług doradczych.</w:t>
      </w:r>
    </w:p>
    <w:p w14:paraId="038D6D1A" w14:textId="77777777" w:rsidR="00AE34D6" w:rsidRDefault="00AE34D6" w:rsidP="00AE34D6">
      <w:pPr>
        <w:pStyle w:val="Akapitzlist"/>
        <w:numPr>
          <w:ilvl w:val="0"/>
          <w:numId w:val="36"/>
        </w:numPr>
        <w:jc w:val="both"/>
        <w:rPr>
          <w:color w:val="FF0000"/>
        </w:rPr>
      </w:pPr>
      <w:r w:rsidRPr="00412C4F">
        <w:t>Rozszerzenie zakresu usług świadczonych w ramach systemu akredytacji wymaga złożenia nowego wniosku o akredytację, a tym samym aktualizacji zakresu świadczonej już usługi.</w:t>
      </w:r>
    </w:p>
    <w:p w14:paraId="639F1FC9" w14:textId="77777777" w:rsidR="00AE34D6" w:rsidRPr="00412C4F" w:rsidRDefault="00AE34D6" w:rsidP="00AE34D6">
      <w:pPr>
        <w:pStyle w:val="Akapitzlist"/>
        <w:numPr>
          <w:ilvl w:val="0"/>
          <w:numId w:val="36"/>
        </w:numPr>
        <w:jc w:val="both"/>
      </w:pPr>
      <w:r w:rsidRPr="00412C4F">
        <w:t>IOB jednorazowo może złożyć trzy wnioski na trzy usługi bądź pakiet usług. Przy czym pakiet świadczonych usług liczony jest jako jedna usługa. Obowiązuje zasada jeden wniosek = jedna usługa.</w:t>
      </w:r>
    </w:p>
    <w:p w14:paraId="6A935BB3" w14:textId="77777777" w:rsidR="00AE34D6" w:rsidRPr="00412C4F" w:rsidRDefault="00AE34D6" w:rsidP="00AE34D6">
      <w:pPr>
        <w:pStyle w:val="Akapitzlist"/>
        <w:numPr>
          <w:ilvl w:val="0"/>
          <w:numId w:val="36"/>
        </w:numPr>
        <w:jc w:val="both"/>
      </w:pPr>
      <w:r w:rsidRPr="00412C4F">
        <w:t>Wniosek o udzielenie akredytacji na kolejne usługi może zostać złożony nie wcześniej niż 2 miesiące po złożeniu ostatniego wniosku o akredytację.</w:t>
      </w:r>
    </w:p>
    <w:p w14:paraId="3231E1A2" w14:textId="77777777" w:rsidR="00AE34D6" w:rsidRPr="00B770BB" w:rsidRDefault="00AE34D6" w:rsidP="00AE34D6"/>
    <w:p w14:paraId="3EA9C424" w14:textId="77777777" w:rsidR="00AE34D6" w:rsidRPr="00B770BB" w:rsidRDefault="00AE34D6" w:rsidP="00AE34D6">
      <w:pPr>
        <w:jc w:val="center"/>
        <w:rPr>
          <w:b/>
          <w:bCs/>
        </w:rPr>
      </w:pPr>
      <w:r w:rsidRPr="00B770BB">
        <w:rPr>
          <w:b/>
          <w:bCs/>
        </w:rPr>
        <w:t>§ 5. Zasady oceny</w:t>
      </w:r>
    </w:p>
    <w:p w14:paraId="11D66D13" w14:textId="77777777" w:rsidR="00AE34D6" w:rsidRPr="00B770BB" w:rsidRDefault="00AE34D6" w:rsidP="00AE34D6">
      <w:pPr>
        <w:pStyle w:val="Akapitzlist"/>
        <w:numPr>
          <w:ilvl w:val="0"/>
          <w:numId w:val="37"/>
        </w:numPr>
        <w:jc w:val="both"/>
      </w:pPr>
      <w:bookmarkStart w:id="9" w:name="_Hlk133325206"/>
      <w:r w:rsidRPr="00B770BB">
        <w:t xml:space="preserve">Wniosek o akredytację podlega weryfikacji pod względem formalnym i merytorycznym. Kryteria oceny wniosku </w:t>
      </w:r>
      <w:r>
        <w:t xml:space="preserve">o akredytację </w:t>
      </w:r>
      <w:r w:rsidRPr="00B770BB">
        <w:t>stanowi</w:t>
      </w:r>
      <w:r>
        <w:t>ą</w:t>
      </w:r>
      <w:r w:rsidRPr="00B770BB">
        <w:t xml:space="preserve"> załącznik nr </w:t>
      </w:r>
      <w:r>
        <w:t>4</w:t>
      </w:r>
      <w:r w:rsidRPr="00B770BB">
        <w:t xml:space="preserve"> do Regulaminu.</w:t>
      </w:r>
    </w:p>
    <w:p w14:paraId="6A233D21" w14:textId="77777777" w:rsidR="00AE34D6" w:rsidRDefault="00AE34D6" w:rsidP="00AE34D6">
      <w:pPr>
        <w:pStyle w:val="Akapitzlist"/>
        <w:numPr>
          <w:ilvl w:val="0"/>
          <w:numId w:val="37"/>
        </w:numPr>
        <w:jc w:val="both"/>
      </w:pPr>
      <w:r w:rsidRPr="00B770BB">
        <w:lastRenderedPageBreak/>
        <w:t xml:space="preserve">Weryfikacja dokonywana jest w oparciu o kryterium 0-1 (spełnia/nie spełnia). </w:t>
      </w:r>
    </w:p>
    <w:p w14:paraId="64ED02E9" w14:textId="77777777" w:rsidR="00AE34D6" w:rsidRDefault="00AE34D6" w:rsidP="00AE34D6">
      <w:pPr>
        <w:pStyle w:val="Akapitzlist"/>
        <w:numPr>
          <w:ilvl w:val="0"/>
          <w:numId w:val="37"/>
        </w:numPr>
        <w:jc w:val="both"/>
      </w:pPr>
      <w:r w:rsidRPr="00B770BB">
        <w:t>Jednostka akredytująca może wezwać Wnioskodawcę do złożenia wyjaśnień</w:t>
      </w:r>
      <w:r>
        <w:t xml:space="preserve"> lub</w:t>
      </w:r>
      <w:r w:rsidRPr="00B770BB">
        <w:t xml:space="preserve"> usunięcia uchybień w ciągu 7 dni roboczych, liczonych od dnia otrzymania ww. informacji przez Wnioskodawcę, pod rygorem odrzucenia wniosku.</w:t>
      </w:r>
    </w:p>
    <w:p w14:paraId="7395A25F" w14:textId="77777777" w:rsidR="00AE34D6" w:rsidRPr="00B770BB" w:rsidRDefault="00AE34D6" w:rsidP="00AE34D6">
      <w:pPr>
        <w:pStyle w:val="Akapitzlist"/>
        <w:numPr>
          <w:ilvl w:val="0"/>
          <w:numId w:val="37"/>
        </w:numPr>
        <w:jc w:val="both"/>
      </w:pPr>
      <w:r w:rsidRPr="00B770BB">
        <w:t xml:space="preserve">Po usunięciu uchybień, o których mowa w ust. </w:t>
      </w:r>
      <w:r>
        <w:t>3</w:t>
      </w:r>
      <w:r w:rsidRPr="00B770BB">
        <w:t xml:space="preserve"> czas rozpatrywania wniosku o akredytację biegnie od nowa.</w:t>
      </w:r>
    </w:p>
    <w:p w14:paraId="4E830EC5" w14:textId="77777777" w:rsidR="00AE34D6" w:rsidRPr="00B770BB" w:rsidRDefault="00AE34D6" w:rsidP="00AE34D6">
      <w:pPr>
        <w:pStyle w:val="Akapitzlist"/>
        <w:numPr>
          <w:ilvl w:val="0"/>
          <w:numId w:val="37"/>
        </w:numPr>
        <w:jc w:val="both"/>
      </w:pPr>
      <w:r w:rsidRPr="00B770BB">
        <w:t>Ocena wniosków o akredytację dokonywana jest przez pracowników Jednostki akredytującej w oparciu o Arkusz oceny wniosku</w:t>
      </w:r>
      <w:r>
        <w:t xml:space="preserve"> o akredytację</w:t>
      </w:r>
      <w:r w:rsidRPr="00B770BB">
        <w:t xml:space="preserve">, stanowiący załącznik nr </w:t>
      </w:r>
      <w:r>
        <w:t>5</w:t>
      </w:r>
      <w:r w:rsidRPr="00B770BB">
        <w:t xml:space="preserve"> do Regulaminu. Dopuszcza się możliwość uzyskania opinii ekspertów zewnętrznych. </w:t>
      </w:r>
    </w:p>
    <w:p w14:paraId="14DA89F0" w14:textId="77777777" w:rsidR="00AE34D6" w:rsidRPr="00B770BB" w:rsidRDefault="00AE34D6" w:rsidP="00AE34D6">
      <w:pPr>
        <w:pStyle w:val="Akapitzlist"/>
        <w:numPr>
          <w:ilvl w:val="0"/>
          <w:numId w:val="37"/>
        </w:numPr>
        <w:jc w:val="both"/>
      </w:pPr>
      <w:r w:rsidRPr="00B770BB">
        <w:t>Wszyscy oceniający, biorący udział w procesie oceny wniosków podpisują oświadczenie o bezstronności i poufności</w:t>
      </w:r>
      <w:r>
        <w:t xml:space="preserve"> oceniających, którego w</w:t>
      </w:r>
      <w:r w:rsidRPr="00B770BB">
        <w:t xml:space="preserve">zór stanowi załącznik nr </w:t>
      </w:r>
      <w:r>
        <w:t>6</w:t>
      </w:r>
      <w:r w:rsidRPr="00B770BB">
        <w:t xml:space="preserve"> do Regulaminu.</w:t>
      </w:r>
    </w:p>
    <w:p w14:paraId="1EEA8505" w14:textId="77777777" w:rsidR="00AE34D6" w:rsidRPr="00B770BB" w:rsidRDefault="00AE34D6" w:rsidP="00AE34D6">
      <w:pPr>
        <w:pStyle w:val="Akapitzlist"/>
        <w:numPr>
          <w:ilvl w:val="0"/>
          <w:numId w:val="37"/>
        </w:numPr>
        <w:jc w:val="both"/>
      </w:pPr>
      <w:r w:rsidRPr="00B770BB">
        <w:t xml:space="preserve">Czas rozpatrywania wniosku o akredytację nie przekracza 14 dni roboczych, licząc od dnia wpływu </w:t>
      </w:r>
      <w:r w:rsidRPr="00412C4F">
        <w:t xml:space="preserve">wniosku (w wersji papierowej lub elektronicznej) do Jednostki akredytującej. W uzasadnionych przypadkach, w szczególności, gdy w trakcie rozpatrywania wniosku konieczne okaże się skorzystanie z pomocy ekspertów lub w przypadku złożenia przez IOB wniosków o akredytacje na więcej niż 3 usługi, termin rozpatrzenia wniosku może być przedłużony, o czym Jednostka akredytująca poinformuje mailowo </w:t>
      </w:r>
      <w:r w:rsidRPr="00B770BB">
        <w:t>Wnioskodawcę. Termin rozpatrzenia wniosku nie może przekroczyć 30 dni roboczych od jego otrzymania.</w:t>
      </w:r>
    </w:p>
    <w:p w14:paraId="25FDD993" w14:textId="77777777" w:rsidR="00AE34D6" w:rsidRPr="00B770BB" w:rsidRDefault="00AE34D6" w:rsidP="00AE34D6">
      <w:pPr>
        <w:pStyle w:val="Akapitzlist"/>
        <w:numPr>
          <w:ilvl w:val="0"/>
          <w:numId w:val="37"/>
        </w:numPr>
        <w:jc w:val="both"/>
      </w:pPr>
      <w:bookmarkStart w:id="10" w:name="_Hlk133327330"/>
      <w:bookmarkEnd w:id="9"/>
      <w:r w:rsidRPr="00B770BB">
        <w:t>Po zakończeniu oceny Wnioskodawca otrzymuje pisemnie informację o uzyskaniu bądź nieuzyskaniu akredytacji. W przypadku negatywnej oceny IOB otrzymuje informację o wynikach oceny wraz z uzasadnieniem.</w:t>
      </w:r>
    </w:p>
    <w:p w14:paraId="16909E31" w14:textId="77777777" w:rsidR="00AE34D6" w:rsidRPr="00B770BB" w:rsidRDefault="00AE34D6" w:rsidP="00AE34D6">
      <w:pPr>
        <w:pStyle w:val="Akapitzlist"/>
        <w:numPr>
          <w:ilvl w:val="0"/>
          <w:numId w:val="37"/>
        </w:numPr>
        <w:jc w:val="both"/>
      </w:pPr>
      <w:r w:rsidRPr="00B770BB">
        <w:t>Podmiot, który nie przeszedł pozytywnie procesu akredytacji może pisemnie odnieść się do wyniku oceny w terminie nie przekraczającym 7 dni roboczych. Przedstawienie argumentów, które mogą mieć istotny wpływ na wynik oceny może skutkować ponownym rozpatrzeniem wniosku.</w:t>
      </w:r>
    </w:p>
    <w:bookmarkEnd w:id="10"/>
    <w:p w14:paraId="451183B5" w14:textId="77777777" w:rsidR="00AE34D6" w:rsidRPr="00DE5E94" w:rsidRDefault="00AE34D6" w:rsidP="00AE34D6">
      <w:pPr>
        <w:pStyle w:val="Akapitzlist"/>
        <w:numPr>
          <w:ilvl w:val="0"/>
          <w:numId w:val="37"/>
        </w:numPr>
        <w:jc w:val="both"/>
      </w:pPr>
      <w:r w:rsidRPr="00B770BB">
        <w:t xml:space="preserve">Informacja o akredytowanej usłudze wraz z opisem usługi zostanie zamieszczona na stronie </w:t>
      </w:r>
      <w:r w:rsidRPr="00DE5E94">
        <w:t>internetowej Jednostki akredytującej. Informacja będzie wizytówką produktu zawierającą następujące dane:</w:t>
      </w:r>
    </w:p>
    <w:p w14:paraId="4BF6A2A6" w14:textId="77777777" w:rsidR="00AE34D6" w:rsidRPr="00DE5E94" w:rsidRDefault="00AE34D6" w:rsidP="002F256A">
      <w:pPr>
        <w:pStyle w:val="Akapitzlist"/>
        <w:numPr>
          <w:ilvl w:val="1"/>
          <w:numId w:val="47"/>
        </w:numPr>
        <w:jc w:val="both"/>
      </w:pPr>
      <w:r w:rsidRPr="00DE5E94">
        <w:t>nazwa usługi;</w:t>
      </w:r>
    </w:p>
    <w:p w14:paraId="4FCAA9B9" w14:textId="77777777" w:rsidR="00AE34D6" w:rsidRPr="00DE5E94" w:rsidRDefault="00AE34D6" w:rsidP="002F256A">
      <w:pPr>
        <w:pStyle w:val="Akapitzlist"/>
        <w:numPr>
          <w:ilvl w:val="1"/>
          <w:numId w:val="47"/>
        </w:numPr>
        <w:jc w:val="both"/>
      </w:pPr>
      <w:r w:rsidRPr="00DE5E94">
        <w:t>opis usługi zawierający link do bazy IOB z ofertą;</w:t>
      </w:r>
    </w:p>
    <w:p w14:paraId="2CDDFBDE" w14:textId="77777777" w:rsidR="00AE34D6" w:rsidRPr="00DE5E94" w:rsidRDefault="00AE34D6" w:rsidP="002F256A">
      <w:pPr>
        <w:pStyle w:val="Akapitzlist"/>
        <w:numPr>
          <w:ilvl w:val="1"/>
          <w:numId w:val="47"/>
        </w:numPr>
        <w:jc w:val="both"/>
      </w:pPr>
      <w:r w:rsidRPr="00DE5E94">
        <w:t>nazwa podmiotu świadczącego usługę;</w:t>
      </w:r>
    </w:p>
    <w:p w14:paraId="5B144F6F" w14:textId="77777777" w:rsidR="00AE34D6" w:rsidRPr="00DE5E94" w:rsidRDefault="00AE34D6" w:rsidP="002F256A">
      <w:pPr>
        <w:pStyle w:val="Akapitzlist"/>
        <w:numPr>
          <w:ilvl w:val="1"/>
          <w:numId w:val="47"/>
        </w:numPr>
        <w:jc w:val="both"/>
      </w:pPr>
      <w:r w:rsidRPr="00DE5E94">
        <w:t>dane kontaktowe;</w:t>
      </w:r>
    </w:p>
    <w:p w14:paraId="353842B8" w14:textId="77777777" w:rsidR="00AE34D6" w:rsidRPr="00DE5E94" w:rsidRDefault="00AE34D6" w:rsidP="002F256A">
      <w:pPr>
        <w:pStyle w:val="Akapitzlist"/>
        <w:numPr>
          <w:ilvl w:val="1"/>
          <w:numId w:val="47"/>
        </w:numPr>
        <w:jc w:val="both"/>
      </w:pPr>
      <w:r w:rsidRPr="00DE5E94">
        <w:t>datę otrzymania akredytacji danej usługi.</w:t>
      </w:r>
    </w:p>
    <w:p w14:paraId="798ABC57" w14:textId="30699FA3" w:rsidR="00AE34D6" w:rsidRPr="00BB2522" w:rsidRDefault="00AE34D6" w:rsidP="00BB2522">
      <w:pPr>
        <w:pStyle w:val="Akapitzlist"/>
        <w:numPr>
          <w:ilvl w:val="0"/>
          <w:numId w:val="37"/>
        </w:numPr>
        <w:jc w:val="both"/>
      </w:pPr>
      <w:r w:rsidRPr="00B770BB">
        <w:t xml:space="preserve">Akredytacja utrzymywana jest na podstawie wyników monitorowania i może zostać unieważniona </w:t>
      </w:r>
      <w:r w:rsidRPr="00B770BB">
        <w:br/>
        <w:t xml:space="preserve">w określonych przez Regulamin przypadkach utraty akredytacji. </w:t>
      </w:r>
    </w:p>
    <w:p w14:paraId="5A68494B" w14:textId="77777777" w:rsidR="00AE34D6" w:rsidRDefault="00AE34D6" w:rsidP="00AE34D6">
      <w:pPr>
        <w:ind w:left="708" w:hanging="708"/>
        <w:jc w:val="center"/>
        <w:rPr>
          <w:b/>
          <w:bCs/>
        </w:rPr>
      </w:pPr>
    </w:p>
    <w:p w14:paraId="6DD0AD77" w14:textId="77777777" w:rsidR="00AE34D6" w:rsidRPr="00B770BB" w:rsidRDefault="00AE34D6" w:rsidP="00AE34D6">
      <w:pPr>
        <w:ind w:left="708" w:hanging="708"/>
        <w:jc w:val="center"/>
        <w:rPr>
          <w:b/>
          <w:bCs/>
        </w:rPr>
      </w:pPr>
      <w:r w:rsidRPr="00B770BB">
        <w:rPr>
          <w:b/>
          <w:bCs/>
        </w:rPr>
        <w:t>§ 6. Obowiązki IOB wiążące się z uzyskaniem akredytacji</w:t>
      </w:r>
      <w:bookmarkStart w:id="11" w:name="_Hlk133240719"/>
    </w:p>
    <w:p w14:paraId="799BABA8" w14:textId="77777777" w:rsidR="00AE34D6" w:rsidRPr="00B770BB" w:rsidRDefault="00AE34D6" w:rsidP="00AE34D6">
      <w:pPr>
        <w:pStyle w:val="Akapitzlist"/>
        <w:numPr>
          <w:ilvl w:val="0"/>
          <w:numId w:val="38"/>
        </w:numPr>
        <w:jc w:val="both"/>
      </w:pPr>
      <w:r w:rsidRPr="00B770BB">
        <w:t>Dla utrzymania akredytacji IOB jest zobowiązana do zachowania statusu wynikającego z definicji IOB oraz kryteriów formalnych i merytorycznych.</w:t>
      </w:r>
    </w:p>
    <w:p w14:paraId="64154EEE" w14:textId="77777777" w:rsidR="00AE34D6" w:rsidRPr="00B770BB" w:rsidRDefault="00AE34D6" w:rsidP="00AE34D6">
      <w:pPr>
        <w:pStyle w:val="Akapitzlist"/>
        <w:numPr>
          <w:ilvl w:val="0"/>
          <w:numId w:val="38"/>
        </w:numPr>
        <w:jc w:val="both"/>
      </w:pPr>
      <w:r w:rsidRPr="00B770BB">
        <w:t>IOB realizuje usługę/usługi akredytowane zgodnie z opisem modelowej specjalistycznej usługi sporządzonym przez IOB we wniosku o akredytację.</w:t>
      </w:r>
    </w:p>
    <w:p w14:paraId="2081E6E4" w14:textId="77777777" w:rsidR="00AE34D6" w:rsidRPr="00B770BB" w:rsidRDefault="00AE34D6" w:rsidP="00AE34D6">
      <w:pPr>
        <w:pStyle w:val="Akapitzlist"/>
        <w:numPr>
          <w:ilvl w:val="0"/>
          <w:numId w:val="38"/>
        </w:numPr>
        <w:jc w:val="both"/>
      </w:pPr>
      <w:r w:rsidRPr="00B770BB">
        <w:t>Po uzyskaniu akredytacji wskazane we wniosk</w:t>
      </w:r>
      <w:r>
        <w:t>ach</w:t>
      </w:r>
      <w:r w:rsidRPr="00B770BB">
        <w:t xml:space="preserve"> o akredytację usługi mog</w:t>
      </w:r>
      <w:r>
        <w:t>ą</w:t>
      </w:r>
      <w:r w:rsidRPr="00B770BB">
        <w:t xml:space="preserve"> być świadczone wyłącznie przez osoby wymienione we wniosku o akredytację. Każdorazowa zmiana osób świadczących usługi w ramach systemu akredytacji będzie odbywać się za zgodą Jednostki akredytującej. Jednostka akredytująca weryfikuje zmianę na podstawie warunków określonych w kryteriach dla potencjału kadrowego.</w:t>
      </w:r>
    </w:p>
    <w:p w14:paraId="328377EB" w14:textId="77777777" w:rsidR="00AE34D6" w:rsidRPr="00B770BB" w:rsidRDefault="00AE34D6" w:rsidP="00AE34D6">
      <w:pPr>
        <w:pStyle w:val="Akapitzlist"/>
        <w:numPr>
          <w:ilvl w:val="0"/>
          <w:numId w:val="38"/>
        </w:numPr>
        <w:jc w:val="both"/>
      </w:pPr>
      <w:r w:rsidRPr="00B770BB">
        <w:lastRenderedPageBreak/>
        <w:t>IOB zobowiązana jest do zapewnienia dostępu do niezbędnej kadry ekspertów świadczących usługi przez cały okres posiadania akredytacji na daną usługę. Dopuszcza się współpracę B2B (rozliczan</w:t>
      </w:r>
      <w:r>
        <w:t>ą</w:t>
      </w:r>
      <w:r w:rsidRPr="00B770BB">
        <w:t xml:space="preserve"> fakturą vat), umowy cywilnoprawne, zawarcie umowy warunkowej, itp.</w:t>
      </w:r>
    </w:p>
    <w:p w14:paraId="789C49F6" w14:textId="77777777" w:rsidR="00AE34D6" w:rsidRPr="00B770BB" w:rsidRDefault="00AE34D6" w:rsidP="00AE34D6">
      <w:pPr>
        <w:pStyle w:val="Akapitzlist"/>
        <w:numPr>
          <w:ilvl w:val="0"/>
          <w:numId w:val="38"/>
        </w:numPr>
        <w:jc w:val="both"/>
      </w:pPr>
      <w:r w:rsidRPr="00B770BB">
        <w:t>IOB zobowiązuje się do przedkładania sprawozdań rocznych z realizacji akredytowanych specjalistycznych usług doradczych (dalej: sprawozdań rocznych).</w:t>
      </w:r>
    </w:p>
    <w:p w14:paraId="1ECE492C" w14:textId="77777777" w:rsidR="00AE34D6" w:rsidRPr="00B770BB" w:rsidRDefault="00AE34D6" w:rsidP="00AE34D6">
      <w:pPr>
        <w:pStyle w:val="Akapitzlist"/>
        <w:numPr>
          <w:ilvl w:val="0"/>
          <w:numId w:val="38"/>
        </w:numPr>
        <w:jc w:val="both"/>
      </w:pPr>
      <w:r w:rsidRPr="00B770BB">
        <w:t xml:space="preserve">IOB zobowiązuje się do umożliwienia przeprowadzenia </w:t>
      </w:r>
      <w:r>
        <w:t xml:space="preserve">przez Jednostkę akredytującą </w:t>
      </w:r>
      <w:r w:rsidRPr="00B770BB">
        <w:t>wizyty monitorującej w zakresie prowadzonej działalności doradczej przez Jednostkę akredytującą oraz w zakresie spełnienia kryteriów akredytacji oraz aspektów jakościowych, dotyczących standardów obsługi klienta.</w:t>
      </w:r>
    </w:p>
    <w:p w14:paraId="6AD9D88D" w14:textId="77777777" w:rsidR="00AE34D6" w:rsidRPr="00B770BB" w:rsidRDefault="00AE34D6" w:rsidP="00AE34D6">
      <w:pPr>
        <w:pStyle w:val="Akapitzlist"/>
        <w:numPr>
          <w:ilvl w:val="0"/>
          <w:numId w:val="38"/>
        </w:numPr>
        <w:jc w:val="both"/>
      </w:pPr>
      <w:bookmarkStart w:id="12" w:name="_Hlk136350389"/>
      <w:r w:rsidRPr="00B770BB">
        <w:t>IOB jest zobowiązana do przechowywania, na potrzeby systemu monitorowania oryginałów złożonych dokumentów.</w:t>
      </w:r>
    </w:p>
    <w:bookmarkEnd w:id="12"/>
    <w:p w14:paraId="42558292" w14:textId="77777777" w:rsidR="00AE34D6" w:rsidRPr="00B770BB" w:rsidRDefault="00AE34D6" w:rsidP="00AE34D6">
      <w:pPr>
        <w:pStyle w:val="Akapitzlist"/>
        <w:numPr>
          <w:ilvl w:val="0"/>
          <w:numId w:val="38"/>
        </w:numPr>
        <w:jc w:val="both"/>
      </w:pPr>
      <w:r w:rsidRPr="00B770BB">
        <w:t>IOB zobowiązana jest do prowadzenia stałego monitorowania potrzeb klientów i przedstawiania wyników wraz ze sprawozdaniem rocznym.</w:t>
      </w:r>
    </w:p>
    <w:p w14:paraId="657F03DD" w14:textId="77777777" w:rsidR="00AE34D6" w:rsidRPr="00412C4F" w:rsidRDefault="00AE34D6" w:rsidP="00AE34D6">
      <w:pPr>
        <w:pStyle w:val="Akapitzlist"/>
        <w:numPr>
          <w:ilvl w:val="0"/>
          <w:numId w:val="38"/>
        </w:numPr>
        <w:jc w:val="both"/>
      </w:pPr>
      <w:r w:rsidRPr="00B770BB">
        <w:t xml:space="preserve">IOB zobowiązuje się do przedstawiania na wezwanie Jednostki akredytującej wszelkich informacji </w:t>
      </w:r>
      <w:r w:rsidRPr="00412C4F">
        <w:t>i wyjaśnień związanych z realizacją akredytowanych usług.</w:t>
      </w:r>
    </w:p>
    <w:p w14:paraId="54C4138B" w14:textId="77777777" w:rsidR="00AE34D6" w:rsidRPr="00412C4F" w:rsidRDefault="00AE34D6" w:rsidP="00AE34D6">
      <w:pPr>
        <w:pStyle w:val="Akapitzlist"/>
        <w:numPr>
          <w:ilvl w:val="0"/>
          <w:numId w:val="38"/>
        </w:numPr>
        <w:jc w:val="both"/>
      </w:pPr>
      <w:bookmarkStart w:id="13" w:name="_Hlk135221914"/>
      <w:r w:rsidRPr="00412C4F">
        <w:t>IOB zobowiązana jest do gromadzenia i przekazywania informacji o klientach i realizowanych usługach na potrzeby monitorowania, badań i analiz inicjowanych przez Jednostkę akredytującą, zachowując przepisy RODO oraz tajemnicę przedsiębiorstwa.</w:t>
      </w:r>
    </w:p>
    <w:p w14:paraId="012EA8AC" w14:textId="77777777" w:rsidR="00AE34D6" w:rsidRPr="00412C4F" w:rsidRDefault="00AE34D6" w:rsidP="00AE34D6">
      <w:pPr>
        <w:pStyle w:val="Akapitzlist"/>
        <w:numPr>
          <w:ilvl w:val="0"/>
          <w:numId w:val="38"/>
        </w:numPr>
        <w:jc w:val="both"/>
      </w:pPr>
      <w:r w:rsidRPr="00412C4F">
        <w:t>IOB jest zobowiązana do realizacji co najmniej 2 doradczych usług na rzecz podmiotów prywatnych w zakresie, na który uzyskała akredytację w ciągu 12 miesięcy liczonych w okresie ważności akredytacji</w:t>
      </w:r>
      <w:bookmarkEnd w:id="13"/>
      <w:r w:rsidRPr="00412C4F">
        <w:t xml:space="preserve"> lub w przypadku złożenia wniosku na pojedynczą usługę co najmniej dwukrotnie w ww. okresie.</w:t>
      </w:r>
    </w:p>
    <w:bookmarkEnd w:id="11"/>
    <w:p w14:paraId="63C90330" w14:textId="77777777" w:rsidR="00AE34D6" w:rsidRPr="00BB2522" w:rsidRDefault="00AE34D6" w:rsidP="00AE34D6">
      <w:pPr>
        <w:ind w:left="708" w:hanging="708"/>
        <w:jc w:val="center"/>
        <w:rPr>
          <w:b/>
          <w:bCs/>
        </w:rPr>
      </w:pPr>
      <w:r w:rsidRPr="00BB2522">
        <w:rPr>
          <w:b/>
          <w:bCs/>
        </w:rPr>
        <w:t>§ 7. Utrata akredytacji</w:t>
      </w:r>
    </w:p>
    <w:p w14:paraId="318C3635" w14:textId="77777777" w:rsidR="00AE34D6" w:rsidRPr="00BB2522" w:rsidRDefault="00AE34D6" w:rsidP="00AE34D6">
      <w:pPr>
        <w:pStyle w:val="Akapitzlist"/>
        <w:numPr>
          <w:ilvl w:val="0"/>
          <w:numId w:val="39"/>
        </w:numPr>
        <w:jc w:val="both"/>
      </w:pPr>
      <w:r w:rsidRPr="00BB2522">
        <w:t>IOB może utracić akredytację i zostać skreślona z listy akredytowanych w następujących przypadkach:</w:t>
      </w:r>
    </w:p>
    <w:p w14:paraId="6B086D10" w14:textId="1101DA39" w:rsidR="00AE34D6" w:rsidRPr="00BB2522" w:rsidRDefault="00AE34D6" w:rsidP="002F256A">
      <w:pPr>
        <w:pStyle w:val="Akapitzlist"/>
        <w:numPr>
          <w:ilvl w:val="1"/>
          <w:numId w:val="48"/>
        </w:numPr>
        <w:jc w:val="both"/>
      </w:pPr>
      <w:r w:rsidRPr="00BB2522">
        <w:t xml:space="preserve">jeśli przez 12 miesięcy nie zrealizowała wymaganej liczby usług wskazanej w § </w:t>
      </w:r>
      <w:r w:rsidR="00C025EA">
        <w:t>6</w:t>
      </w:r>
      <w:r w:rsidRPr="00BB2522">
        <w:t xml:space="preserve"> ust. 11,</w:t>
      </w:r>
    </w:p>
    <w:p w14:paraId="3D4CE889" w14:textId="77777777" w:rsidR="00AE34D6" w:rsidRPr="00BB2522" w:rsidRDefault="00AE34D6" w:rsidP="002F256A">
      <w:pPr>
        <w:pStyle w:val="Akapitzlist"/>
        <w:numPr>
          <w:ilvl w:val="1"/>
          <w:numId w:val="48"/>
        </w:numPr>
        <w:jc w:val="both"/>
      </w:pPr>
      <w:r w:rsidRPr="00BB2522">
        <w:t xml:space="preserve">ustalenia przez Jednostkę akredytującą, w ramach prowadzonej wizyty monitorującej, niezgodności między oświadczeniami złożonymi w aplikacji akredytacyjnej, </w:t>
      </w:r>
      <w:r w:rsidRPr="00BB2522">
        <w:br/>
        <w:t>a dokumentacją stanowiącą podstawę do jej przygotowania przechowywaną przez akredytowane IOB,</w:t>
      </w:r>
    </w:p>
    <w:p w14:paraId="4A81B4FF" w14:textId="77777777" w:rsidR="00AE34D6" w:rsidRPr="00BB2522" w:rsidRDefault="00AE34D6" w:rsidP="002F256A">
      <w:pPr>
        <w:pStyle w:val="Akapitzlist"/>
        <w:numPr>
          <w:ilvl w:val="1"/>
          <w:numId w:val="48"/>
        </w:numPr>
        <w:jc w:val="both"/>
      </w:pPr>
      <w:r w:rsidRPr="00BB2522">
        <w:t xml:space="preserve">na podstawie pozytywnej weryfikacji zasadności reklamacji zgłoszonej przez przedsiębiorcę do IOB (nierozpatrzonej lub odrzuconej) i zgłoszeń nieprawidłowości wykonania usługi złożonych bezpośrednio do Jednostki akredytującej przez przedsiębiorcę (zgłoszenie zastrzeżeń i reklamacji wykonania usługi może być podstawą wizyty monitorującej), </w:t>
      </w:r>
      <w:bookmarkStart w:id="14" w:name="_Hlk135221792"/>
      <w:r w:rsidRPr="00BB2522">
        <w:t>nieprawidłowości w realizacji akredytowanych usług powiązanych z wydatkowaniem środków publicznych, w tym naruszenia przepisów prawa krajowego lub unijnego, zgłoszonych do Jednostki akredytacyjnej przez podmioty udzielające wsparcia,</w:t>
      </w:r>
    </w:p>
    <w:bookmarkEnd w:id="14"/>
    <w:p w14:paraId="6D0983AF" w14:textId="77777777" w:rsidR="00AE34D6" w:rsidRPr="00BB2522" w:rsidRDefault="00AE34D6" w:rsidP="002F256A">
      <w:pPr>
        <w:pStyle w:val="Akapitzlist"/>
        <w:numPr>
          <w:ilvl w:val="1"/>
          <w:numId w:val="48"/>
        </w:numPr>
        <w:jc w:val="both"/>
      </w:pPr>
      <w:r w:rsidRPr="00BB2522">
        <w:t>nieprzedłożenia sprawozdania rocznego w terminie,</w:t>
      </w:r>
    </w:p>
    <w:p w14:paraId="210DC3BE" w14:textId="77777777" w:rsidR="00AE34D6" w:rsidRPr="00BB2522" w:rsidRDefault="00AE34D6" w:rsidP="002F256A">
      <w:pPr>
        <w:pStyle w:val="Akapitzlist"/>
        <w:numPr>
          <w:ilvl w:val="1"/>
          <w:numId w:val="48"/>
        </w:numPr>
        <w:jc w:val="both"/>
      </w:pPr>
      <w:r w:rsidRPr="00BB2522">
        <w:t>w wyniku negatywnej oceny uzyskanej w procesie monitorowania,</w:t>
      </w:r>
    </w:p>
    <w:p w14:paraId="281B0A8B" w14:textId="77777777" w:rsidR="00AE34D6" w:rsidRPr="00BB2522" w:rsidRDefault="00AE34D6" w:rsidP="002F256A">
      <w:pPr>
        <w:pStyle w:val="Akapitzlist"/>
        <w:numPr>
          <w:ilvl w:val="1"/>
          <w:numId w:val="48"/>
        </w:numPr>
        <w:jc w:val="both"/>
      </w:pPr>
      <w:r w:rsidRPr="00BB2522">
        <w:t xml:space="preserve">uniemożliwienia przeprowadzenia wizyty monitorującej przez Jednostkę akredytującą. </w:t>
      </w:r>
    </w:p>
    <w:p w14:paraId="30704B04" w14:textId="77777777" w:rsidR="00AE34D6" w:rsidRPr="00B770BB" w:rsidRDefault="00AE34D6" w:rsidP="00AE34D6">
      <w:pPr>
        <w:pStyle w:val="Akapitzlist"/>
        <w:numPr>
          <w:ilvl w:val="0"/>
          <w:numId w:val="39"/>
        </w:numPr>
        <w:jc w:val="both"/>
      </w:pPr>
      <w:r>
        <w:t xml:space="preserve">O </w:t>
      </w:r>
      <w:r w:rsidRPr="00B770BB">
        <w:t>utracie akredytacji Jednostka akredytująca informuje IOB pisemnie.</w:t>
      </w:r>
    </w:p>
    <w:p w14:paraId="5EFAAE18" w14:textId="77777777" w:rsidR="00AE34D6" w:rsidRPr="00B770BB" w:rsidRDefault="00AE34D6" w:rsidP="00AE34D6"/>
    <w:p w14:paraId="51F5C029" w14:textId="77777777" w:rsidR="00AE34D6" w:rsidRPr="00C67261" w:rsidRDefault="00AE34D6" w:rsidP="00AE34D6">
      <w:pPr>
        <w:jc w:val="center"/>
        <w:rPr>
          <w:b/>
          <w:bCs/>
        </w:rPr>
      </w:pPr>
      <w:r w:rsidRPr="00C67261">
        <w:rPr>
          <w:b/>
          <w:bCs/>
        </w:rPr>
        <w:t>§ 8. Monitoring</w:t>
      </w:r>
    </w:p>
    <w:p w14:paraId="5BD9BEE2" w14:textId="77777777" w:rsidR="00AE34D6" w:rsidRPr="00B770BB" w:rsidRDefault="00AE34D6" w:rsidP="00AE34D6">
      <w:pPr>
        <w:pStyle w:val="Akapitzlist"/>
        <w:numPr>
          <w:ilvl w:val="0"/>
          <w:numId w:val="40"/>
        </w:numPr>
        <w:jc w:val="both"/>
      </w:pPr>
      <w:r w:rsidRPr="00B770BB">
        <w:t xml:space="preserve">Jednostka akredytująca prowadzi monitorowanie świadczenia akredytowanych usług IOB oraz jakości świadczonych usług. </w:t>
      </w:r>
    </w:p>
    <w:p w14:paraId="4B7CC3B6" w14:textId="77777777" w:rsidR="00AE34D6" w:rsidRPr="00B770BB" w:rsidRDefault="00AE34D6" w:rsidP="00AE34D6">
      <w:pPr>
        <w:pStyle w:val="Akapitzlist"/>
        <w:numPr>
          <w:ilvl w:val="0"/>
          <w:numId w:val="40"/>
        </w:numPr>
        <w:jc w:val="both"/>
      </w:pPr>
      <w:r w:rsidRPr="00B770BB">
        <w:lastRenderedPageBreak/>
        <w:t>Na proces monitorowania składają się:</w:t>
      </w:r>
    </w:p>
    <w:p w14:paraId="0C6CEE45" w14:textId="544A75A0" w:rsidR="00AE34D6" w:rsidRPr="00B770BB" w:rsidRDefault="00AE34D6" w:rsidP="002F256A">
      <w:pPr>
        <w:pStyle w:val="Akapitzlist"/>
        <w:numPr>
          <w:ilvl w:val="1"/>
          <w:numId w:val="49"/>
        </w:numPr>
        <w:jc w:val="both"/>
      </w:pPr>
      <w:r w:rsidRPr="00B770BB">
        <w:t>Sprawozdania wykonywane przez IOB i poddawane analizie i weryfikacji przez Jednostkę akredytującą</w:t>
      </w:r>
      <w:r w:rsidR="00BB2522">
        <w:t>;</w:t>
      </w:r>
    </w:p>
    <w:p w14:paraId="49FD75AD" w14:textId="5FEF4295" w:rsidR="00AE34D6" w:rsidRPr="00B770BB" w:rsidRDefault="00AE34D6" w:rsidP="002F256A">
      <w:pPr>
        <w:pStyle w:val="Akapitzlist"/>
        <w:numPr>
          <w:ilvl w:val="1"/>
          <w:numId w:val="49"/>
        </w:numPr>
        <w:jc w:val="both"/>
      </w:pPr>
      <w:r w:rsidRPr="00B770BB">
        <w:t>Wizyty monitorujące przeprowadzane przez Jednostkę akredytującą</w:t>
      </w:r>
      <w:r w:rsidR="00BB2522">
        <w:t>;</w:t>
      </w:r>
    </w:p>
    <w:p w14:paraId="1B9858EC" w14:textId="77777777" w:rsidR="00AE34D6" w:rsidRPr="00B770BB" w:rsidRDefault="00AE34D6" w:rsidP="002F256A">
      <w:pPr>
        <w:pStyle w:val="Akapitzlist"/>
        <w:numPr>
          <w:ilvl w:val="1"/>
          <w:numId w:val="49"/>
        </w:numPr>
        <w:jc w:val="both"/>
      </w:pPr>
      <w:r w:rsidRPr="00B770BB">
        <w:t>Analizy dotyczące realizacji usług przez IOB, prowadzone przez Jednostkę akredytującą.</w:t>
      </w:r>
    </w:p>
    <w:p w14:paraId="3E981EDD" w14:textId="77777777" w:rsidR="00AE34D6" w:rsidRPr="00B770BB" w:rsidRDefault="00AE34D6" w:rsidP="00AE34D6">
      <w:pPr>
        <w:pStyle w:val="Akapitzlist"/>
        <w:numPr>
          <w:ilvl w:val="0"/>
          <w:numId w:val="40"/>
        </w:numPr>
        <w:jc w:val="both"/>
      </w:pPr>
      <w:r w:rsidRPr="00B770BB">
        <w:t xml:space="preserve">Monitoring obejmuje podejmowane działania IOB w zakresie akredytowanych usług. IOB powinna przedkładać roczne sprawozdania z realizacji działań wpisujących się w założone cele rozwojowe w oparciu o określone wskaźniki. </w:t>
      </w:r>
    </w:p>
    <w:p w14:paraId="6CE4E8E9" w14:textId="77777777" w:rsidR="00AE34D6" w:rsidRPr="00B770BB" w:rsidRDefault="00AE34D6" w:rsidP="00AE34D6"/>
    <w:p w14:paraId="24C830AD" w14:textId="77777777" w:rsidR="00AE34D6" w:rsidRPr="00C67261" w:rsidRDefault="00AE34D6" w:rsidP="00AE34D6">
      <w:pPr>
        <w:ind w:left="708" w:hanging="708"/>
        <w:jc w:val="center"/>
        <w:rPr>
          <w:b/>
          <w:bCs/>
        </w:rPr>
      </w:pPr>
      <w:r w:rsidRPr="00C67261">
        <w:rPr>
          <w:b/>
          <w:bCs/>
        </w:rPr>
        <w:t>§ 9. Sprawozdawczość</w:t>
      </w:r>
    </w:p>
    <w:p w14:paraId="2F002468" w14:textId="77777777" w:rsidR="00AE34D6" w:rsidRPr="00B770BB" w:rsidRDefault="00AE34D6" w:rsidP="00AE34D6">
      <w:pPr>
        <w:pStyle w:val="Akapitzlist"/>
        <w:numPr>
          <w:ilvl w:val="0"/>
          <w:numId w:val="41"/>
        </w:numPr>
        <w:jc w:val="both"/>
      </w:pPr>
      <w:bookmarkStart w:id="15" w:name="_Hlk133329413"/>
      <w:r w:rsidRPr="00B770BB">
        <w:t xml:space="preserve">W ciągu 30 dni po upływie 12 miesięcy od terminu uzyskania akredytacji </w:t>
      </w:r>
      <w:bookmarkEnd w:id="15"/>
      <w:r w:rsidRPr="00B770BB">
        <w:t xml:space="preserve">IOB przedstawia sprawozdanie </w:t>
      </w:r>
      <w:r>
        <w:t xml:space="preserve">roczne </w:t>
      </w:r>
      <w:r w:rsidRPr="00B770BB">
        <w:t xml:space="preserve">zawierające: </w:t>
      </w:r>
    </w:p>
    <w:p w14:paraId="33816F2A" w14:textId="77777777" w:rsidR="00AE34D6" w:rsidRDefault="00AE34D6" w:rsidP="002F256A">
      <w:pPr>
        <w:pStyle w:val="Akapitzlist"/>
        <w:numPr>
          <w:ilvl w:val="1"/>
          <w:numId w:val="50"/>
        </w:numPr>
        <w:jc w:val="both"/>
      </w:pPr>
      <w:bookmarkStart w:id="16" w:name="_Hlk132794746"/>
      <w:r w:rsidRPr="00B770BB">
        <w:t xml:space="preserve">oświadczenie o spełnianiu kryteriów formalnych i merytorycznych </w:t>
      </w:r>
      <w:bookmarkEnd w:id="16"/>
      <w:r w:rsidRPr="00B770BB">
        <w:t xml:space="preserve">– wzór oświadczenia stanowi załącznik nr </w:t>
      </w:r>
      <w:r>
        <w:t>2</w:t>
      </w:r>
      <w:r w:rsidRPr="00B770BB">
        <w:t xml:space="preserve"> do Regulaminu, </w:t>
      </w:r>
    </w:p>
    <w:p w14:paraId="07927FBE" w14:textId="77777777" w:rsidR="00AE34D6" w:rsidRPr="008B3B74" w:rsidRDefault="00AE34D6" w:rsidP="002F256A">
      <w:pPr>
        <w:pStyle w:val="Akapitzlist"/>
        <w:numPr>
          <w:ilvl w:val="1"/>
          <w:numId w:val="50"/>
        </w:numPr>
        <w:jc w:val="both"/>
      </w:pPr>
      <w:r w:rsidRPr="00B770BB">
        <w:t>formularz monitorowania świadczonych usług.</w:t>
      </w:r>
      <w:bookmarkStart w:id="17" w:name="_Hlk133240338"/>
      <w:r w:rsidRPr="00B770BB">
        <w:t xml:space="preserve"> Formularz zawiera informacje na temat </w:t>
      </w:r>
      <w:r w:rsidRPr="008B3B74">
        <w:t>zrealizowanych/zainicjowanych usług (zestawienie stanowiące załącznik nr 2.1 do Regulaminu),</w:t>
      </w:r>
    </w:p>
    <w:bookmarkEnd w:id="17"/>
    <w:p w14:paraId="1A3B5B91" w14:textId="77777777" w:rsidR="00AE34D6" w:rsidRPr="008B3B74" w:rsidRDefault="00AE34D6" w:rsidP="002F256A">
      <w:pPr>
        <w:pStyle w:val="Akapitzlist"/>
        <w:numPr>
          <w:ilvl w:val="1"/>
          <w:numId w:val="50"/>
        </w:numPr>
        <w:jc w:val="both"/>
      </w:pPr>
      <w:r w:rsidRPr="008B3B74">
        <w:t xml:space="preserve">zestawienie wyników </w:t>
      </w:r>
      <w:bookmarkStart w:id="18" w:name="_Hlk133240391"/>
      <w:r w:rsidRPr="008B3B74">
        <w:t>ankiety badającej potrzeby klientów IOB</w:t>
      </w:r>
      <w:bookmarkEnd w:id="18"/>
      <w:r w:rsidRPr="008B3B74">
        <w:t>, której formularz stanowi załącznik nr 2.2 do Regulaminu,</w:t>
      </w:r>
    </w:p>
    <w:p w14:paraId="72347E59" w14:textId="77777777" w:rsidR="00AE34D6" w:rsidRPr="008B3B74" w:rsidRDefault="00AE34D6" w:rsidP="002F256A">
      <w:pPr>
        <w:pStyle w:val="Akapitzlist"/>
        <w:numPr>
          <w:ilvl w:val="1"/>
          <w:numId w:val="50"/>
        </w:numPr>
        <w:jc w:val="both"/>
      </w:pPr>
      <w:r w:rsidRPr="008B3B74">
        <w:t>formularz informacji o klientach stanowiący załącznik nr 2.3 do Regulaminu.</w:t>
      </w:r>
    </w:p>
    <w:p w14:paraId="62E010C5" w14:textId="356B9A5E" w:rsidR="00AE34D6" w:rsidRPr="00B770BB" w:rsidRDefault="00AE34D6" w:rsidP="002F256A">
      <w:pPr>
        <w:pStyle w:val="Akapitzlist"/>
        <w:numPr>
          <w:ilvl w:val="0"/>
          <w:numId w:val="50"/>
        </w:numPr>
        <w:jc w:val="both"/>
      </w:pPr>
      <w:r w:rsidRPr="008B3B74">
        <w:t xml:space="preserve">W uzasadnionych przypadkach </w:t>
      </w:r>
      <w:r w:rsidR="00C025EA">
        <w:t xml:space="preserve">budzących wątpliwości co do jakości świadczonej usługi doradczej </w:t>
      </w:r>
      <w:r w:rsidRPr="008B3B74">
        <w:t xml:space="preserve">Jednostka akredytująca może poprosić IOB o przekazanie zestawienia aktualnych danych zbieranych na potrzeby rocznych sprawozdań niezależnie </w:t>
      </w:r>
      <w:r w:rsidRPr="00B770BB">
        <w:t>od przedłożonych sprawozdań.</w:t>
      </w:r>
    </w:p>
    <w:p w14:paraId="48F039E5" w14:textId="77777777" w:rsidR="00AE34D6" w:rsidRPr="00B770BB" w:rsidRDefault="00AE34D6" w:rsidP="002F256A">
      <w:pPr>
        <w:pStyle w:val="Akapitzlist"/>
        <w:numPr>
          <w:ilvl w:val="0"/>
          <w:numId w:val="50"/>
        </w:numPr>
        <w:jc w:val="both"/>
      </w:pPr>
      <w:r w:rsidRPr="00B770BB">
        <w:t xml:space="preserve">IOB zobowiązana jest do gromadzenia i przekazywania na wezwanie Jednostki akredytującej informacji o klientach zainteresowanych akredytowanymi usługami, a także o klientach, dla których realizowano akredytowane usługi na potrzeby monitorowania, badań i analiz inicjowanych przez Jednostkę akredytującą. Minimalny zakres danych określa załącznik nr </w:t>
      </w:r>
      <w:r>
        <w:t>2.1</w:t>
      </w:r>
      <w:r w:rsidRPr="00B770BB">
        <w:t xml:space="preserve"> do Regulaminu.</w:t>
      </w:r>
    </w:p>
    <w:p w14:paraId="42E9E859" w14:textId="77777777" w:rsidR="00AE34D6" w:rsidRPr="00B770BB" w:rsidRDefault="00AE34D6" w:rsidP="002F256A">
      <w:pPr>
        <w:pStyle w:val="Akapitzlist"/>
        <w:numPr>
          <w:ilvl w:val="0"/>
          <w:numId w:val="50"/>
        </w:numPr>
        <w:jc w:val="both"/>
      </w:pPr>
      <w:r w:rsidRPr="00B770BB">
        <w:t>Terminowość składanych dokumentów weryfikowana jest przez Jednostkę akredytującą.</w:t>
      </w:r>
      <w:r w:rsidRPr="00B770BB">
        <w:br/>
        <w:t xml:space="preserve">W przypadku braku wpływu sprawozdania </w:t>
      </w:r>
      <w:r>
        <w:t xml:space="preserve">rocznego </w:t>
      </w:r>
      <w:r w:rsidRPr="00B770BB">
        <w:t>w terminie 30 dni po upływie 12 miesięcy od terminu uzyskania akredytacji, pracownik Jednostki akredytującej kontaktuje się za pośrednictwem poczty e-mail z przedstawicielem IOB, przypominając o obowiązujących terminach i wyznaczając termin na przesłanie sprawozdania</w:t>
      </w:r>
      <w:r>
        <w:t xml:space="preserve"> rocznego</w:t>
      </w:r>
      <w:r w:rsidRPr="00B770BB">
        <w:t xml:space="preserve">. W przypadku braku przekazania sprawozdania </w:t>
      </w:r>
      <w:r>
        <w:t xml:space="preserve">rocznego </w:t>
      </w:r>
      <w:r w:rsidRPr="00B770BB">
        <w:t>z załącznikami w wyznaczonym terminie, zostaje przekazana pisemna informacja o unieważnieniu akredytacji.</w:t>
      </w:r>
    </w:p>
    <w:p w14:paraId="2283763A" w14:textId="77777777" w:rsidR="00AE34D6" w:rsidRPr="00B770BB" w:rsidRDefault="00AE34D6" w:rsidP="002F256A">
      <w:pPr>
        <w:pStyle w:val="Akapitzlist"/>
        <w:numPr>
          <w:ilvl w:val="0"/>
          <w:numId w:val="50"/>
        </w:numPr>
        <w:jc w:val="both"/>
      </w:pPr>
      <w:r w:rsidRPr="00B770BB">
        <w:t xml:space="preserve">Weryfikacja sprawozdania </w:t>
      </w:r>
      <w:r>
        <w:t xml:space="preserve">rocznego </w:t>
      </w:r>
      <w:r w:rsidRPr="00B770BB">
        <w:t xml:space="preserve">przeprowadzana jest przez Jednostkę akredytującą niezwłocznie po jego wpływie. Zakres weryfikacji </w:t>
      </w:r>
      <w:r>
        <w:t>s</w:t>
      </w:r>
      <w:r w:rsidRPr="00B770BB">
        <w:t xml:space="preserve">prawozdania </w:t>
      </w:r>
      <w:r>
        <w:t xml:space="preserve">rocznego </w:t>
      </w:r>
      <w:r w:rsidRPr="00B770BB">
        <w:t xml:space="preserve">został szczegółowo opisany w Liście sprawdzającej, której wzór stanowi załącznik nr </w:t>
      </w:r>
      <w:r>
        <w:t>7</w:t>
      </w:r>
      <w:r w:rsidRPr="00B770BB">
        <w:t xml:space="preserve"> do Regulaminu.</w:t>
      </w:r>
    </w:p>
    <w:p w14:paraId="285B4505" w14:textId="759F1423" w:rsidR="00AE34D6" w:rsidRPr="00B770BB" w:rsidRDefault="00AE34D6" w:rsidP="002F256A">
      <w:pPr>
        <w:pStyle w:val="Akapitzlist"/>
        <w:numPr>
          <w:ilvl w:val="0"/>
          <w:numId w:val="50"/>
        </w:numPr>
        <w:jc w:val="both"/>
      </w:pPr>
      <w:r w:rsidRPr="00B770BB">
        <w:t>W przypadku stwierdzenia uchybień/nie</w:t>
      </w:r>
      <w:r w:rsidR="00C025EA">
        <w:t>prawidłowości</w:t>
      </w:r>
      <w:r w:rsidRPr="00B770BB">
        <w:t xml:space="preserve"> w przesłanym sprawozdaniu </w:t>
      </w:r>
      <w:r>
        <w:t xml:space="preserve">rocznym </w:t>
      </w:r>
      <w:r w:rsidRPr="00B770BB">
        <w:t>pracownik Jednostki akredytującej przesyła zapytanie/wezwanie do korekty sprawozdania – w formie informacji e-mail, wskazując jednocześnie termin na przesłanie korekty/wyjaśnień.</w:t>
      </w:r>
    </w:p>
    <w:p w14:paraId="5073A243" w14:textId="77777777" w:rsidR="00AE34D6" w:rsidRPr="00B770BB" w:rsidRDefault="00AE34D6" w:rsidP="002F256A">
      <w:pPr>
        <w:pStyle w:val="Akapitzlist"/>
        <w:numPr>
          <w:ilvl w:val="0"/>
          <w:numId w:val="50"/>
        </w:numPr>
        <w:jc w:val="both"/>
      </w:pPr>
      <w:bookmarkStart w:id="19" w:name="_Hlk133473611"/>
      <w:r w:rsidRPr="00B770BB">
        <w:t>Po zakończeniu weryfikacji sprawozdania</w:t>
      </w:r>
      <w:r>
        <w:t xml:space="preserve"> rocznego</w:t>
      </w:r>
      <w:r w:rsidRPr="00B770BB">
        <w:t>/korekt</w:t>
      </w:r>
      <w:r>
        <w:t>y</w:t>
      </w:r>
      <w:r w:rsidRPr="00B770BB">
        <w:t xml:space="preserve"> t</w:t>
      </w:r>
      <w:r>
        <w:t>ego</w:t>
      </w:r>
      <w:r w:rsidRPr="00B770BB">
        <w:t xml:space="preserve"> sprawozda</w:t>
      </w:r>
      <w:r>
        <w:t>nia</w:t>
      </w:r>
      <w:r w:rsidRPr="00B770BB">
        <w:t xml:space="preserve"> sporządzana jest lista sprawdzająca. Informacja o wynikach weryfikacji sprawozdania wraz z Listą sprawdzającą przekazywana jest do IOB za pośrednictwem poczty e-mail niezwłocznie po zakończeniu weryfikacji.</w:t>
      </w:r>
    </w:p>
    <w:p w14:paraId="7F24CF2F" w14:textId="77777777" w:rsidR="00AE34D6" w:rsidRPr="00B770BB" w:rsidRDefault="00AE34D6" w:rsidP="002F256A">
      <w:pPr>
        <w:pStyle w:val="Akapitzlist"/>
        <w:numPr>
          <w:ilvl w:val="0"/>
          <w:numId w:val="50"/>
        </w:numPr>
        <w:jc w:val="both"/>
      </w:pPr>
      <w:r w:rsidRPr="00B770BB">
        <w:t>W przypadku dalszych wątpliwości i zastrzeżeń Jednostka akredytująca może przeprowadzić wizytę monitorującą w siedzibie IOB.</w:t>
      </w:r>
    </w:p>
    <w:bookmarkEnd w:id="19"/>
    <w:p w14:paraId="422D3F07" w14:textId="77777777" w:rsidR="00AE34D6" w:rsidRPr="00B770BB" w:rsidRDefault="00AE34D6" w:rsidP="00AE34D6"/>
    <w:p w14:paraId="5CD7BA3F" w14:textId="77777777" w:rsidR="00AE34D6" w:rsidRPr="00C67261" w:rsidRDefault="00AE34D6" w:rsidP="00AE34D6">
      <w:pPr>
        <w:ind w:left="708" w:hanging="708"/>
        <w:jc w:val="center"/>
        <w:rPr>
          <w:b/>
          <w:bCs/>
        </w:rPr>
      </w:pPr>
      <w:r w:rsidRPr="00C67261">
        <w:rPr>
          <w:b/>
          <w:bCs/>
        </w:rPr>
        <w:t>§ 10. Wizyty monitorujące</w:t>
      </w:r>
    </w:p>
    <w:p w14:paraId="5B10E065" w14:textId="77777777" w:rsidR="00AE34D6" w:rsidRPr="00B770BB" w:rsidRDefault="00AE34D6" w:rsidP="00AE34D6">
      <w:pPr>
        <w:pStyle w:val="Akapitzlist"/>
        <w:numPr>
          <w:ilvl w:val="0"/>
          <w:numId w:val="42"/>
        </w:numPr>
        <w:jc w:val="both"/>
      </w:pPr>
      <w:r w:rsidRPr="00B770BB">
        <w:t>Jednym z elementów systemu monitorowania są wizyty monitorujące prowadzone przez Jednostkę akredytującą.</w:t>
      </w:r>
    </w:p>
    <w:p w14:paraId="317D76E8" w14:textId="77777777" w:rsidR="00AE34D6" w:rsidRPr="00B770BB" w:rsidRDefault="00AE34D6" w:rsidP="00AE34D6">
      <w:pPr>
        <w:pStyle w:val="Akapitzlist"/>
        <w:numPr>
          <w:ilvl w:val="0"/>
          <w:numId w:val="42"/>
        </w:numPr>
        <w:jc w:val="both"/>
      </w:pPr>
      <w:r w:rsidRPr="00B770BB">
        <w:t>Wizyty monitorujące mają doraźny charakter i mogą zostać przeprowadzone w przypadku:</w:t>
      </w:r>
    </w:p>
    <w:p w14:paraId="3547718E" w14:textId="77777777" w:rsidR="00AE34D6" w:rsidRPr="007D1B3A" w:rsidRDefault="00AE34D6" w:rsidP="002F256A">
      <w:pPr>
        <w:pStyle w:val="Akapitzlist"/>
        <w:numPr>
          <w:ilvl w:val="1"/>
          <w:numId w:val="51"/>
        </w:numPr>
        <w:jc w:val="both"/>
      </w:pPr>
      <w:r w:rsidRPr="007D1B3A">
        <w:t>wątpliwości i zastrzeżeń sformułowanych na etapie oceny sprawozdania rocznego,</w:t>
      </w:r>
    </w:p>
    <w:p w14:paraId="10DC352C" w14:textId="77777777" w:rsidR="00AE34D6" w:rsidRPr="007D1B3A" w:rsidRDefault="00AE34D6" w:rsidP="002F256A">
      <w:pPr>
        <w:pStyle w:val="Akapitzlist"/>
        <w:numPr>
          <w:ilvl w:val="1"/>
          <w:numId w:val="51"/>
        </w:numPr>
        <w:jc w:val="both"/>
      </w:pPr>
      <w:r w:rsidRPr="007D1B3A">
        <w:t>zgłoszonej reklamacji lub nieprawidłowości wykonania usługi,</w:t>
      </w:r>
    </w:p>
    <w:p w14:paraId="6AF091A1" w14:textId="77777777" w:rsidR="00AE34D6" w:rsidRPr="007D1B3A" w:rsidRDefault="00AE34D6" w:rsidP="002F256A">
      <w:pPr>
        <w:pStyle w:val="Akapitzlist"/>
        <w:numPr>
          <w:ilvl w:val="1"/>
          <w:numId w:val="51"/>
        </w:numPr>
        <w:jc w:val="both"/>
      </w:pPr>
      <w:r w:rsidRPr="007D1B3A">
        <w:t>na wniosek Jednostki akredytującej na każdym etapie świadczenia usługi.</w:t>
      </w:r>
    </w:p>
    <w:p w14:paraId="2A0FB39E" w14:textId="72E344CA" w:rsidR="00AE34D6" w:rsidRPr="007D1B3A" w:rsidRDefault="00AE34D6" w:rsidP="002F256A">
      <w:pPr>
        <w:pStyle w:val="Akapitzlist"/>
        <w:numPr>
          <w:ilvl w:val="0"/>
          <w:numId w:val="42"/>
        </w:numPr>
        <w:jc w:val="both"/>
      </w:pPr>
      <w:r w:rsidRPr="007D1B3A">
        <w:t>IOB otrzyma informację dotyczącą wizyty monitorującej co najmniej 14 dni przed wizytą.</w:t>
      </w:r>
    </w:p>
    <w:p w14:paraId="376A7E0E" w14:textId="77777777" w:rsidR="00AE34D6" w:rsidRPr="00B770BB" w:rsidRDefault="00AE34D6" w:rsidP="002F256A">
      <w:pPr>
        <w:pStyle w:val="Akapitzlist"/>
        <w:numPr>
          <w:ilvl w:val="0"/>
          <w:numId w:val="42"/>
        </w:numPr>
        <w:jc w:val="both"/>
      </w:pPr>
      <w:r w:rsidRPr="00B770BB">
        <w:t>Wizyta monitorująca może zostać przeprowadzona w siedzibie IOB lub w miejscu świadczenia usługi wskazanym przez IOB.</w:t>
      </w:r>
    </w:p>
    <w:p w14:paraId="0B72A7C5" w14:textId="77777777" w:rsidR="00AE34D6" w:rsidRPr="00B770BB" w:rsidRDefault="00AE34D6" w:rsidP="002F256A">
      <w:pPr>
        <w:pStyle w:val="Akapitzlist"/>
        <w:numPr>
          <w:ilvl w:val="0"/>
          <w:numId w:val="42"/>
        </w:numPr>
        <w:jc w:val="both"/>
      </w:pPr>
      <w:r w:rsidRPr="00B770BB">
        <w:t>IOB zobowiązuje się do umożliwienia przeprowadzenia wizyt monitorujących.</w:t>
      </w:r>
    </w:p>
    <w:p w14:paraId="489AEB63" w14:textId="77777777" w:rsidR="00AE34D6" w:rsidRPr="00B770BB" w:rsidRDefault="00AE34D6" w:rsidP="00AE34D6"/>
    <w:p w14:paraId="7A44FEFE" w14:textId="77777777" w:rsidR="00AE34D6" w:rsidRPr="00242E9A" w:rsidRDefault="00AE34D6" w:rsidP="00AE34D6">
      <w:pPr>
        <w:jc w:val="center"/>
        <w:rPr>
          <w:b/>
          <w:bCs/>
        </w:rPr>
      </w:pPr>
      <w:r w:rsidRPr="00242E9A">
        <w:rPr>
          <w:b/>
          <w:bCs/>
        </w:rPr>
        <w:t>§ 11. Badania i analizy</w:t>
      </w:r>
    </w:p>
    <w:p w14:paraId="43F741CC" w14:textId="77777777" w:rsidR="00AE34D6" w:rsidRPr="00B770BB" w:rsidRDefault="00AE34D6" w:rsidP="00AE34D6">
      <w:pPr>
        <w:pStyle w:val="Akapitzlist"/>
        <w:numPr>
          <w:ilvl w:val="0"/>
          <w:numId w:val="43"/>
        </w:numPr>
        <w:jc w:val="both"/>
      </w:pPr>
      <w:r w:rsidRPr="00B770BB">
        <w:t>W ramach prowadzonego systemu monitoringu, a także na potrzeby zmian systemu, Jednostka akredytująca może inicjować i prowadzić również niezbędne badania i analizy zakładające:</w:t>
      </w:r>
      <w:r w:rsidRPr="00B770BB" w:rsidDel="007C6A17">
        <w:t xml:space="preserve"> </w:t>
      </w:r>
      <w:bookmarkStart w:id="20" w:name="OLE_LINK1"/>
    </w:p>
    <w:p w14:paraId="7FA3FBC2" w14:textId="77777777" w:rsidR="00AE34D6" w:rsidRPr="00B770BB" w:rsidRDefault="00AE34D6" w:rsidP="002F256A">
      <w:pPr>
        <w:pStyle w:val="Akapitzlist"/>
        <w:numPr>
          <w:ilvl w:val="1"/>
          <w:numId w:val="52"/>
        </w:numPr>
        <w:jc w:val="both"/>
      </w:pPr>
      <w:r w:rsidRPr="00B770BB">
        <w:t xml:space="preserve">badania jakości realizowanych usług i satysfakcji klientów, </w:t>
      </w:r>
    </w:p>
    <w:p w14:paraId="50FE3AB6" w14:textId="77777777" w:rsidR="00AE34D6" w:rsidRPr="00B770BB" w:rsidRDefault="00AE34D6" w:rsidP="002F256A">
      <w:pPr>
        <w:pStyle w:val="Akapitzlist"/>
        <w:numPr>
          <w:ilvl w:val="1"/>
          <w:numId w:val="52"/>
        </w:numPr>
        <w:jc w:val="both"/>
      </w:pPr>
      <w:r w:rsidRPr="00B770BB">
        <w:t xml:space="preserve">analizę porównawczą oferowanych przez IOB usług względem posiadanych kompetencji </w:t>
      </w:r>
      <w:r w:rsidRPr="00B770BB">
        <w:br/>
        <w:t>i zasobów,</w:t>
      </w:r>
    </w:p>
    <w:p w14:paraId="441F2E0F" w14:textId="77777777" w:rsidR="00AE34D6" w:rsidRPr="00B770BB" w:rsidRDefault="00AE34D6" w:rsidP="002F256A">
      <w:pPr>
        <w:pStyle w:val="Akapitzlist"/>
        <w:numPr>
          <w:ilvl w:val="1"/>
          <w:numId w:val="52"/>
        </w:numPr>
        <w:jc w:val="both"/>
      </w:pPr>
      <w:r w:rsidRPr="00B770BB">
        <w:t xml:space="preserve">badanie zapotrzebowania/popytu na specjalistyczne usługi doradcze, w tym na usługi </w:t>
      </w:r>
      <w:r>
        <w:br/>
      </w:r>
      <w:r w:rsidRPr="00B770BB">
        <w:t>o charakterze proinnowacyjnym.</w:t>
      </w:r>
    </w:p>
    <w:p w14:paraId="073F52EC" w14:textId="66B982B6" w:rsidR="00AE34D6" w:rsidRPr="00725876" w:rsidRDefault="00AE34D6" w:rsidP="00725876">
      <w:pPr>
        <w:pStyle w:val="Akapitzlist"/>
        <w:numPr>
          <w:ilvl w:val="0"/>
          <w:numId w:val="43"/>
        </w:numPr>
        <w:jc w:val="both"/>
      </w:pPr>
      <w:r w:rsidRPr="00B770BB">
        <w:t xml:space="preserve">Obszary tematyczne realizowanych analiz będą podlegać zmianom w zależności od </w:t>
      </w:r>
      <w:r>
        <w:t xml:space="preserve">potrzeb </w:t>
      </w:r>
      <w:r w:rsidRPr="00B770BB">
        <w:t>zdiagnozowanych na etapie monitorowania i sprawozdawczości z działalności IOB.</w:t>
      </w:r>
    </w:p>
    <w:p w14:paraId="08818786" w14:textId="77777777" w:rsidR="00AE34D6" w:rsidRDefault="00AE34D6" w:rsidP="00AE34D6">
      <w:pPr>
        <w:jc w:val="center"/>
        <w:rPr>
          <w:b/>
          <w:bCs/>
        </w:rPr>
      </w:pPr>
    </w:p>
    <w:p w14:paraId="235CCB68" w14:textId="77777777" w:rsidR="00AE34D6" w:rsidRPr="00242E9A" w:rsidRDefault="00AE34D6" w:rsidP="00AE34D6">
      <w:pPr>
        <w:jc w:val="center"/>
        <w:rPr>
          <w:b/>
          <w:bCs/>
        </w:rPr>
      </w:pPr>
      <w:r w:rsidRPr="00242E9A">
        <w:rPr>
          <w:b/>
          <w:bCs/>
        </w:rPr>
        <w:t>§ 12. Postanowienia końcowe</w:t>
      </w:r>
    </w:p>
    <w:bookmarkEnd w:id="20"/>
    <w:p w14:paraId="39F40A92" w14:textId="77777777" w:rsidR="00AE34D6" w:rsidRPr="00B770BB" w:rsidRDefault="00AE34D6" w:rsidP="00AE34D6">
      <w:pPr>
        <w:pStyle w:val="Akapitzlist"/>
        <w:numPr>
          <w:ilvl w:val="0"/>
          <w:numId w:val="44"/>
        </w:numPr>
        <w:jc w:val="both"/>
      </w:pPr>
      <w:r w:rsidRPr="00B770BB">
        <w:t>Jednostka akredytująca zastrzega, że nie ponosi odpowiedzialności za zdarzenia uniemożliwiające prawidłowe przeprowadzenie Naboru, których nie była w stanie przewidzieć lub którym nie mogła zapobiec, w szczególności w przypadku zaistnienia zdarzeń losowych, w tym siły wyższej.</w:t>
      </w:r>
    </w:p>
    <w:p w14:paraId="62465DAA" w14:textId="77777777" w:rsidR="00AE34D6" w:rsidRPr="00B770BB" w:rsidRDefault="00AE34D6" w:rsidP="00AE34D6">
      <w:pPr>
        <w:pStyle w:val="Akapitzlist"/>
        <w:numPr>
          <w:ilvl w:val="0"/>
          <w:numId w:val="44"/>
        </w:numPr>
        <w:jc w:val="both"/>
      </w:pPr>
      <w:r w:rsidRPr="00B770BB">
        <w:t>Jednostka akredytująca zastrzega sobie prawo do zmiany postanowień Regulaminu.</w:t>
      </w:r>
    </w:p>
    <w:p w14:paraId="40842404" w14:textId="77777777" w:rsidR="00AE34D6" w:rsidRPr="00B770BB" w:rsidRDefault="00AE34D6" w:rsidP="00AE34D6">
      <w:pPr>
        <w:pStyle w:val="Akapitzlist"/>
        <w:numPr>
          <w:ilvl w:val="0"/>
          <w:numId w:val="44"/>
        </w:numPr>
        <w:jc w:val="both"/>
      </w:pPr>
      <w:r w:rsidRPr="00B770BB">
        <w:t>W sprawach nieuregulowanych Regulaminem znajdują zastosowanie obowiązujące przepisy prawa powszechnego.</w:t>
      </w:r>
    </w:p>
    <w:p w14:paraId="28667E74" w14:textId="77777777" w:rsidR="00AE34D6" w:rsidRPr="00B770BB" w:rsidRDefault="00AE34D6" w:rsidP="00AE34D6">
      <w:pPr>
        <w:pStyle w:val="Akapitzlist"/>
        <w:numPr>
          <w:ilvl w:val="0"/>
          <w:numId w:val="44"/>
        </w:numPr>
        <w:jc w:val="both"/>
      </w:pPr>
      <w:r w:rsidRPr="00B770BB">
        <w:t>Wszelkie spory powstałe na tle wykonania Regulaminu rozstrzyga sąd powszechny właściwy dla siedziby Jednostki akredytującej.</w:t>
      </w:r>
    </w:p>
    <w:p w14:paraId="7F0DE92D" w14:textId="77777777" w:rsidR="00AE34D6" w:rsidRPr="00B770BB" w:rsidRDefault="00AE34D6" w:rsidP="00AE34D6">
      <w:pPr>
        <w:pStyle w:val="Akapitzlist"/>
        <w:numPr>
          <w:ilvl w:val="0"/>
          <w:numId w:val="44"/>
        </w:numPr>
        <w:jc w:val="both"/>
      </w:pPr>
      <w:r w:rsidRPr="00B770BB">
        <w:t xml:space="preserve">Jednostka akredytująca nie ponosi odpowiedzialności wobec osób trzecich za szkody powstałe w związku z przyznaniem akredytacji. </w:t>
      </w:r>
    </w:p>
    <w:p w14:paraId="53B756A9" w14:textId="77777777" w:rsidR="00AE34D6" w:rsidRPr="00B770BB" w:rsidRDefault="00AE34D6" w:rsidP="00AE34D6">
      <w:pPr>
        <w:pStyle w:val="Akapitzlist"/>
        <w:numPr>
          <w:ilvl w:val="0"/>
          <w:numId w:val="44"/>
        </w:numPr>
        <w:jc w:val="both"/>
      </w:pPr>
      <w:r w:rsidRPr="00B770BB">
        <w:t>Jednostka akredytacyjna nie ponosi odpowiedzialności za treści dokumentów tworzonych przez IOB oraz za zgodność dokumentów z obowiązującymi przepisami prawa.</w:t>
      </w:r>
    </w:p>
    <w:p w14:paraId="3B848037" w14:textId="77777777" w:rsidR="00AE34D6" w:rsidRPr="00B770BB" w:rsidRDefault="00AE34D6" w:rsidP="00AE34D6">
      <w:pPr>
        <w:pStyle w:val="Akapitzlist"/>
        <w:numPr>
          <w:ilvl w:val="0"/>
          <w:numId w:val="44"/>
        </w:numPr>
        <w:jc w:val="both"/>
      </w:pPr>
      <w:r w:rsidRPr="00B770BB">
        <w:t>Wszystkie dane i informacje zawarte we wnioskach akredytacyjnych podlegają ochronie.</w:t>
      </w:r>
    </w:p>
    <w:p w14:paraId="65378A41" w14:textId="77777777" w:rsidR="00AE34D6" w:rsidRPr="00B770BB" w:rsidRDefault="00AE34D6" w:rsidP="00AE34D6">
      <w:pPr>
        <w:pStyle w:val="Akapitzlist"/>
        <w:numPr>
          <w:ilvl w:val="0"/>
          <w:numId w:val="44"/>
        </w:numPr>
        <w:jc w:val="both"/>
      </w:pPr>
      <w:r w:rsidRPr="00B770BB">
        <w:t>IOB wyraża zgodę na wykorzystanie przez Jednostkę akredytującą swoich danych teleadresowych dla celów korespondencyjnych</w:t>
      </w:r>
      <w:r>
        <w:t xml:space="preserve"> </w:t>
      </w:r>
      <w:r w:rsidRPr="00B770BB">
        <w:t>i promocyjnych w czasie trwania akredytacji.</w:t>
      </w:r>
    </w:p>
    <w:p w14:paraId="28F79D11" w14:textId="6113EC9F" w:rsidR="00C025EA" w:rsidRPr="00B770BB" w:rsidRDefault="00AE34D6" w:rsidP="00AE34D6">
      <w:r w:rsidRPr="00B770BB">
        <w:t xml:space="preserve"> </w:t>
      </w:r>
      <w:bookmarkEnd w:id="0"/>
    </w:p>
    <w:bookmarkEnd w:id="1"/>
    <w:bookmarkEnd w:id="2"/>
    <w:sectPr w:rsidR="00C025EA" w:rsidRPr="00B770BB" w:rsidSect="002811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22C6D" w14:textId="77777777" w:rsidR="006551FB" w:rsidRDefault="006551FB" w:rsidP="00696AC1">
      <w:pPr>
        <w:spacing w:after="0" w:line="240" w:lineRule="auto"/>
      </w:pPr>
      <w:r>
        <w:separator/>
      </w:r>
    </w:p>
  </w:endnote>
  <w:endnote w:type="continuationSeparator" w:id="0">
    <w:p w14:paraId="2633DA02" w14:textId="77777777" w:rsidR="006551FB" w:rsidRDefault="006551FB"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E10002FF" w:usb1="5000ECFF" w:usb2="00000021" w:usb3="00000000" w:csb0="000001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C3360" w14:textId="77777777" w:rsidR="006551FB" w:rsidRDefault="006551FB" w:rsidP="00696AC1">
      <w:pPr>
        <w:spacing w:after="0" w:line="240" w:lineRule="auto"/>
      </w:pPr>
      <w:r>
        <w:separator/>
      </w:r>
    </w:p>
  </w:footnote>
  <w:footnote w:type="continuationSeparator" w:id="0">
    <w:p w14:paraId="7059670E" w14:textId="77777777" w:rsidR="006551FB" w:rsidRDefault="006551FB" w:rsidP="00696AC1">
      <w:pPr>
        <w:spacing w:after="0" w:line="240" w:lineRule="auto"/>
      </w:pPr>
      <w:r>
        <w:continuationSeparator/>
      </w:r>
    </w:p>
  </w:footnote>
  <w:footnote w:id="1">
    <w:p w14:paraId="1801FA7C" w14:textId="77777777" w:rsidR="00AE34D6" w:rsidRDefault="00AE34D6" w:rsidP="00AE34D6">
      <w:pPr>
        <w:pStyle w:val="Tekstprzypisudolnego"/>
      </w:pPr>
      <w:r w:rsidRPr="00DE7207">
        <w:rPr>
          <w:rStyle w:val="Odwoanieprzypisudolnego"/>
          <w:rFonts w:ascii="Lato" w:hAnsi="Lato"/>
        </w:rPr>
        <w:footnoteRef/>
      </w:r>
      <w:r w:rsidRPr="00DE7207">
        <w:rPr>
          <w:rFonts w:ascii="Lato" w:hAnsi="Lato"/>
        </w:rPr>
        <w:t xml:space="preserve"> Z</w:t>
      </w:r>
      <w:r>
        <w:rPr>
          <w:rFonts w:ascii="Lato" w:hAnsi="Lato"/>
        </w:rPr>
        <w:t xml:space="preserve">ałącznik nr 1 </w:t>
      </w:r>
      <w:r w:rsidRPr="00DE7207">
        <w:rPr>
          <w:rFonts w:ascii="Lato" w:hAnsi="Lato"/>
        </w:rPr>
        <w:t>do rozporządzenia Komisji WE nr 651/2014 z dnia 17 czerwca 2014 r.</w:t>
      </w:r>
      <w:r>
        <w:rPr>
          <w:rFonts w:ascii="Lato" w:hAnsi="Lato"/>
        </w:rPr>
        <w:t xml:space="preserve">, </w:t>
      </w:r>
      <w:r w:rsidRPr="00DE7207">
        <w:rPr>
          <w:rFonts w:ascii="Lato" w:hAnsi="Lato"/>
        </w:rPr>
        <w:t>uznające</w:t>
      </w:r>
      <w:r>
        <w:rPr>
          <w:rFonts w:ascii="Lato" w:hAnsi="Lato"/>
        </w:rPr>
        <w:t xml:space="preserve"> </w:t>
      </w:r>
      <w:r w:rsidRPr="00DE7207">
        <w:rPr>
          <w:rFonts w:ascii="Lato" w:hAnsi="Lato"/>
        </w:rPr>
        <w:t>niektóre rodzaje pomocy za zgodne z rynkiem wewnętrznym w zastosowaniu art. 107 i 108 Traktatu (Dz. Urz. UE L 187 z 26.06.2014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2F3EE2"/>
    <w:multiLevelType w:val="hybridMultilevel"/>
    <w:tmpl w:val="548CFD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AB4F71"/>
    <w:multiLevelType w:val="hybridMultilevel"/>
    <w:tmpl w:val="B92690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E42416"/>
    <w:multiLevelType w:val="hybridMultilevel"/>
    <w:tmpl w:val="DBE4418E"/>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2E70D42"/>
    <w:multiLevelType w:val="hybridMultilevel"/>
    <w:tmpl w:val="AC769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3CC478C"/>
    <w:multiLevelType w:val="hybridMultilevel"/>
    <w:tmpl w:val="38D223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6E4A94"/>
    <w:multiLevelType w:val="hybridMultilevel"/>
    <w:tmpl w:val="92EA8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6C11DC"/>
    <w:multiLevelType w:val="hybridMultilevel"/>
    <w:tmpl w:val="D40EAB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502A4F"/>
    <w:multiLevelType w:val="hybridMultilevel"/>
    <w:tmpl w:val="B42A4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EB475B"/>
    <w:multiLevelType w:val="hybridMultilevel"/>
    <w:tmpl w:val="0534E764"/>
    <w:lvl w:ilvl="0" w:tplc="2C90FEB4">
      <w:start w:val="1"/>
      <w:numFmt w:val="bullet"/>
      <w:lvlText w:val="□"/>
      <w:lvlJc w:val="left"/>
      <w:pPr>
        <w:ind w:left="360" w:hanging="360"/>
      </w:pPr>
      <w:rPr>
        <w:rFonts w:ascii="Century Gothic" w:hAnsi="Century Gothic"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76D5FAF"/>
    <w:multiLevelType w:val="hybridMultilevel"/>
    <w:tmpl w:val="00F401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14544C"/>
    <w:multiLevelType w:val="hybridMultilevel"/>
    <w:tmpl w:val="C270F292"/>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D242B7"/>
    <w:multiLevelType w:val="hybridMultilevel"/>
    <w:tmpl w:val="3B326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ED92550"/>
    <w:multiLevelType w:val="hybridMultilevel"/>
    <w:tmpl w:val="0B4CAE0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B21943"/>
    <w:multiLevelType w:val="hybridMultilevel"/>
    <w:tmpl w:val="88FE1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E8209B"/>
    <w:multiLevelType w:val="hybridMultilevel"/>
    <w:tmpl w:val="1E261736"/>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9847A1"/>
    <w:multiLevelType w:val="hybridMultilevel"/>
    <w:tmpl w:val="11762EA8"/>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F0463B"/>
    <w:multiLevelType w:val="hybridMultilevel"/>
    <w:tmpl w:val="F0E89602"/>
    <w:lvl w:ilvl="0" w:tplc="04150003">
      <w:start w:val="1"/>
      <w:numFmt w:val="bullet"/>
      <w:lvlText w:val="o"/>
      <w:lvlJc w:val="left"/>
      <w:pPr>
        <w:ind w:left="1080" w:hanging="360"/>
      </w:pPr>
      <w:rPr>
        <w:rFonts w:ascii="Courier New" w:hAnsi="Courier New" w:cs="Courier New"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9" w15:restartNumberingAfterBreak="0">
    <w:nsid w:val="34387FDC"/>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7B67DF2"/>
    <w:multiLevelType w:val="hybridMultilevel"/>
    <w:tmpl w:val="E5F6B7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E6CE6"/>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07D38F5"/>
    <w:multiLevelType w:val="hybridMultilevel"/>
    <w:tmpl w:val="28C21F6E"/>
    <w:lvl w:ilvl="0" w:tplc="30EAE0F8">
      <w:start w:val="1"/>
      <w:numFmt w:val="decimal"/>
      <w:lvlText w:val="%1."/>
      <w:lvlJc w:val="left"/>
      <w:pPr>
        <w:ind w:left="360" w:hanging="360"/>
      </w:pPr>
      <w:rPr>
        <w:color w:val="auto"/>
      </w:rPr>
    </w:lvl>
    <w:lvl w:ilvl="1" w:tplc="0D0CD4B8">
      <w:numFmt w:val="bullet"/>
      <w:lvlText w:val=""/>
      <w:lvlJc w:val="left"/>
      <w:pPr>
        <w:ind w:left="1080" w:hanging="360"/>
      </w:pPr>
      <w:rPr>
        <w:rFonts w:ascii="Symbol" w:eastAsiaTheme="minorEastAsia"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3961C1"/>
    <w:multiLevelType w:val="hybridMultilevel"/>
    <w:tmpl w:val="D8BA0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4722B7"/>
    <w:multiLevelType w:val="hybridMultilevel"/>
    <w:tmpl w:val="AC7699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7C179A3"/>
    <w:multiLevelType w:val="hybridMultilevel"/>
    <w:tmpl w:val="72DA95FA"/>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C55F30"/>
    <w:multiLevelType w:val="hybridMultilevel"/>
    <w:tmpl w:val="368CF4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A973A11"/>
    <w:multiLevelType w:val="hybridMultilevel"/>
    <w:tmpl w:val="67DE32E6"/>
    <w:lvl w:ilvl="0" w:tplc="9AE6F87E">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EB7120"/>
    <w:multiLevelType w:val="hybridMultilevel"/>
    <w:tmpl w:val="51CC786A"/>
    <w:lvl w:ilvl="0" w:tplc="D2E424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AE587C"/>
    <w:multiLevelType w:val="hybridMultilevel"/>
    <w:tmpl w:val="B18CD6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261040"/>
    <w:multiLevelType w:val="hybridMultilevel"/>
    <w:tmpl w:val="B344C25C"/>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106B1C"/>
    <w:multiLevelType w:val="hybridMultilevel"/>
    <w:tmpl w:val="3D6EF9C6"/>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6D3379A"/>
    <w:multiLevelType w:val="hybridMultilevel"/>
    <w:tmpl w:val="D9AAFD96"/>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9933708"/>
    <w:multiLevelType w:val="hybridMultilevel"/>
    <w:tmpl w:val="F740DF5A"/>
    <w:lvl w:ilvl="0" w:tplc="A858C84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047B1F"/>
    <w:multiLevelType w:val="hybridMultilevel"/>
    <w:tmpl w:val="62326F64"/>
    <w:lvl w:ilvl="0" w:tplc="2C90FEB4">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8847E1"/>
    <w:multiLevelType w:val="hybridMultilevel"/>
    <w:tmpl w:val="89C03682"/>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14157F"/>
    <w:multiLevelType w:val="hybridMultilevel"/>
    <w:tmpl w:val="CCDCC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6B154BA"/>
    <w:multiLevelType w:val="hybridMultilevel"/>
    <w:tmpl w:val="5E38EF16"/>
    <w:lvl w:ilvl="0" w:tplc="2C90FEB4">
      <w:start w:val="1"/>
      <w:numFmt w:val="bullet"/>
      <w:lvlText w:val="□"/>
      <w:lvlJc w:val="left"/>
      <w:pPr>
        <w:ind w:left="360" w:hanging="360"/>
      </w:pPr>
      <w:rPr>
        <w:rFonts w:ascii="Century Gothic" w:hAnsi="Century Gothic"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70D358D"/>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77D6724"/>
    <w:multiLevelType w:val="hybridMultilevel"/>
    <w:tmpl w:val="3FE233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F9B5876"/>
    <w:multiLevelType w:val="hybridMultilevel"/>
    <w:tmpl w:val="E1FAF5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01A6C89"/>
    <w:multiLevelType w:val="hybridMultilevel"/>
    <w:tmpl w:val="3BB26850"/>
    <w:lvl w:ilvl="0" w:tplc="2C90FEB4">
      <w:start w:val="1"/>
      <w:numFmt w:val="bullet"/>
      <w:lvlText w:val="□"/>
      <w:lvlJc w:val="left"/>
      <w:pPr>
        <w:ind w:left="720" w:hanging="360"/>
      </w:pPr>
      <w:rPr>
        <w:rFonts w:ascii="Century Gothic" w:hAnsi="Century Gothic"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249250F"/>
    <w:multiLevelType w:val="hybridMultilevel"/>
    <w:tmpl w:val="E45C38F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40E2D"/>
    <w:multiLevelType w:val="hybridMultilevel"/>
    <w:tmpl w:val="72DE2D46"/>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A86B73"/>
    <w:multiLevelType w:val="hybridMultilevel"/>
    <w:tmpl w:val="CF2A10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A182D94"/>
    <w:multiLevelType w:val="hybridMultilevel"/>
    <w:tmpl w:val="488ED1F6"/>
    <w:lvl w:ilvl="0" w:tplc="850E0CB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A236FA1"/>
    <w:multiLevelType w:val="hybridMultilevel"/>
    <w:tmpl w:val="368267F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A5F73B6"/>
    <w:multiLevelType w:val="hybridMultilevel"/>
    <w:tmpl w:val="9A0893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C423B76"/>
    <w:multiLevelType w:val="hybridMultilevel"/>
    <w:tmpl w:val="B19428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CEF21A7"/>
    <w:multiLevelType w:val="hybridMultilevel"/>
    <w:tmpl w:val="783E70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E490CB3"/>
    <w:multiLevelType w:val="hybridMultilevel"/>
    <w:tmpl w:val="D71E36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0005181">
    <w:abstractNumId w:val="25"/>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5"/>
  </w:num>
  <w:num w:numId="4" w16cid:durableId="1047489849">
    <w:abstractNumId w:val="42"/>
  </w:num>
  <w:num w:numId="5" w16cid:durableId="1891112573">
    <w:abstractNumId w:val="18"/>
  </w:num>
  <w:num w:numId="6" w16cid:durableId="1371297192">
    <w:abstractNumId w:val="37"/>
  </w:num>
  <w:num w:numId="7" w16cid:durableId="1810049734">
    <w:abstractNumId w:val="7"/>
  </w:num>
  <w:num w:numId="8" w16cid:durableId="1853257601">
    <w:abstractNumId w:val="4"/>
  </w:num>
  <w:num w:numId="9" w16cid:durableId="833374393">
    <w:abstractNumId w:val="45"/>
  </w:num>
  <w:num w:numId="10" w16cid:durableId="227375901">
    <w:abstractNumId w:val="27"/>
  </w:num>
  <w:num w:numId="11" w16cid:durableId="1520856504">
    <w:abstractNumId w:val="36"/>
  </w:num>
  <w:num w:numId="12" w16cid:durableId="1025525815">
    <w:abstractNumId w:val="50"/>
  </w:num>
  <w:num w:numId="13" w16cid:durableId="1078597845">
    <w:abstractNumId w:val="15"/>
  </w:num>
  <w:num w:numId="14" w16cid:durableId="899900260">
    <w:abstractNumId w:val="23"/>
  </w:num>
  <w:num w:numId="15" w16cid:durableId="410085398">
    <w:abstractNumId w:val="19"/>
  </w:num>
  <w:num w:numId="16" w16cid:durableId="173962248">
    <w:abstractNumId w:val="47"/>
  </w:num>
  <w:num w:numId="17" w16cid:durableId="1648779895">
    <w:abstractNumId w:val="41"/>
  </w:num>
  <w:num w:numId="18" w16cid:durableId="260455155">
    <w:abstractNumId w:val="24"/>
  </w:num>
  <w:num w:numId="19" w16cid:durableId="468287186">
    <w:abstractNumId w:val="39"/>
  </w:num>
  <w:num w:numId="20" w16cid:durableId="65344931">
    <w:abstractNumId w:val="26"/>
  </w:num>
  <w:num w:numId="21" w16cid:durableId="245071334">
    <w:abstractNumId w:val="21"/>
  </w:num>
  <w:num w:numId="22" w16cid:durableId="851648166">
    <w:abstractNumId w:val="9"/>
  </w:num>
  <w:num w:numId="23" w16cid:durableId="528102588">
    <w:abstractNumId w:val="29"/>
  </w:num>
  <w:num w:numId="24" w16cid:durableId="894243393">
    <w:abstractNumId w:val="20"/>
  </w:num>
  <w:num w:numId="25" w16cid:durableId="968359998">
    <w:abstractNumId w:val="10"/>
  </w:num>
  <w:num w:numId="26" w16cid:durableId="1072196557">
    <w:abstractNumId w:val="38"/>
  </w:num>
  <w:num w:numId="27" w16cid:durableId="1497498975">
    <w:abstractNumId w:val="46"/>
  </w:num>
  <w:num w:numId="28" w16cid:durableId="506677647">
    <w:abstractNumId w:val="31"/>
  </w:num>
  <w:num w:numId="29" w16cid:durableId="592399082">
    <w:abstractNumId w:val="28"/>
  </w:num>
  <w:num w:numId="30" w16cid:durableId="1810244811">
    <w:abstractNumId w:val="16"/>
  </w:num>
  <w:num w:numId="31" w16cid:durableId="860319933">
    <w:abstractNumId w:val="35"/>
  </w:num>
  <w:num w:numId="32" w16cid:durableId="1527408531">
    <w:abstractNumId w:val="43"/>
  </w:num>
  <w:num w:numId="33" w16cid:durableId="453788089">
    <w:abstractNumId w:val="13"/>
  </w:num>
  <w:num w:numId="34" w16cid:durableId="1859661876">
    <w:abstractNumId w:val="51"/>
  </w:num>
  <w:num w:numId="35" w16cid:durableId="911811135">
    <w:abstractNumId w:val="8"/>
  </w:num>
  <w:num w:numId="36" w16cid:durableId="1829635029">
    <w:abstractNumId w:val="22"/>
  </w:num>
  <w:num w:numId="37" w16cid:durableId="85543385">
    <w:abstractNumId w:val="30"/>
  </w:num>
  <w:num w:numId="38" w16cid:durableId="896010006">
    <w:abstractNumId w:val="49"/>
  </w:num>
  <w:num w:numId="39" w16cid:durableId="224726796">
    <w:abstractNumId w:val="1"/>
  </w:num>
  <w:num w:numId="40" w16cid:durableId="1372152601">
    <w:abstractNumId w:val="6"/>
  </w:num>
  <w:num w:numId="41" w16cid:durableId="1869023199">
    <w:abstractNumId w:val="11"/>
  </w:num>
  <w:num w:numId="42" w16cid:durableId="1412854660">
    <w:abstractNumId w:val="40"/>
  </w:num>
  <w:num w:numId="43" w16cid:durableId="1994747460">
    <w:abstractNumId w:val="2"/>
  </w:num>
  <w:num w:numId="44" w16cid:durableId="991562021">
    <w:abstractNumId w:val="48"/>
  </w:num>
  <w:num w:numId="45" w16cid:durableId="1547716717">
    <w:abstractNumId w:val="34"/>
  </w:num>
  <w:num w:numId="46" w16cid:durableId="763232435">
    <w:abstractNumId w:val="14"/>
  </w:num>
  <w:num w:numId="47" w16cid:durableId="1043990200">
    <w:abstractNumId w:val="33"/>
  </w:num>
  <w:num w:numId="48" w16cid:durableId="1819688807">
    <w:abstractNumId w:val="32"/>
  </w:num>
  <w:num w:numId="49" w16cid:durableId="531915878">
    <w:abstractNumId w:val="3"/>
  </w:num>
  <w:num w:numId="50" w16cid:durableId="216818762">
    <w:abstractNumId w:val="44"/>
  </w:num>
  <w:num w:numId="51" w16cid:durableId="553273828">
    <w:abstractNumId w:val="12"/>
  </w:num>
  <w:num w:numId="52" w16cid:durableId="92094213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93A09"/>
    <w:rsid w:val="000B4E61"/>
    <w:rsid w:val="000B730E"/>
    <w:rsid w:val="000D3CD6"/>
    <w:rsid w:val="000E6980"/>
    <w:rsid w:val="001117B9"/>
    <w:rsid w:val="001A37BF"/>
    <w:rsid w:val="001E7CA6"/>
    <w:rsid w:val="00225347"/>
    <w:rsid w:val="00242E9A"/>
    <w:rsid w:val="002606CD"/>
    <w:rsid w:val="0028111C"/>
    <w:rsid w:val="002853F6"/>
    <w:rsid w:val="002D6D18"/>
    <w:rsid w:val="002F256A"/>
    <w:rsid w:val="003319A0"/>
    <w:rsid w:val="00332653"/>
    <w:rsid w:val="004E1486"/>
    <w:rsid w:val="005961AC"/>
    <w:rsid w:val="00596697"/>
    <w:rsid w:val="005C4655"/>
    <w:rsid w:val="00601A90"/>
    <w:rsid w:val="00630C5C"/>
    <w:rsid w:val="006376E8"/>
    <w:rsid w:val="006551FB"/>
    <w:rsid w:val="00666F0B"/>
    <w:rsid w:val="006844A4"/>
    <w:rsid w:val="00696AC1"/>
    <w:rsid w:val="00725876"/>
    <w:rsid w:val="00742A2F"/>
    <w:rsid w:val="007437F5"/>
    <w:rsid w:val="00784220"/>
    <w:rsid w:val="0079151F"/>
    <w:rsid w:val="007C041C"/>
    <w:rsid w:val="007C3DAB"/>
    <w:rsid w:val="0081080A"/>
    <w:rsid w:val="0081694F"/>
    <w:rsid w:val="00822EBD"/>
    <w:rsid w:val="0083200C"/>
    <w:rsid w:val="008D28B3"/>
    <w:rsid w:val="008E73F2"/>
    <w:rsid w:val="0090574F"/>
    <w:rsid w:val="00941074"/>
    <w:rsid w:val="00A00F33"/>
    <w:rsid w:val="00A01C33"/>
    <w:rsid w:val="00A10C2E"/>
    <w:rsid w:val="00A3244F"/>
    <w:rsid w:val="00A7354A"/>
    <w:rsid w:val="00A8591C"/>
    <w:rsid w:val="00AA74EF"/>
    <w:rsid w:val="00AB6D34"/>
    <w:rsid w:val="00AD1411"/>
    <w:rsid w:val="00AE34D6"/>
    <w:rsid w:val="00B25D14"/>
    <w:rsid w:val="00B554C7"/>
    <w:rsid w:val="00B770BB"/>
    <w:rsid w:val="00BB2522"/>
    <w:rsid w:val="00BC3726"/>
    <w:rsid w:val="00BC6333"/>
    <w:rsid w:val="00BC7199"/>
    <w:rsid w:val="00BD5937"/>
    <w:rsid w:val="00C025EA"/>
    <w:rsid w:val="00C63C3B"/>
    <w:rsid w:val="00C67261"/>
    <w:rsid w:val="00CE1989"/>
    <w:rsid w:val="00D026FD"/>
    <w:rsid w:val="00D60F8E"/>
    <w:rsid w:val="00DC4CAB"/>
    <w:rsid w:val="00DE5E94"/>
    <w:rsid w:val="00E235A3"/>
    <w:rsid w:val="00E33B52"/>
    <w:rsid w:val="00F05BE0"/>
    <w:rsid w:val="00F0776F"/>
    <w:rsid w:val="00F20F53"/>
    <w:rsid w:val="00F505CC"/>
    <w:rsid w:val="00F77C8B"/>
    <w:rsid w:val="00FB247E"/>
    <w:rsid w:val="00FC5404"/>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2484</Words>
  <Characters>14905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3</cp:revision>
  <cp:lastPrinted>2025-02-24T13:39:00Z</cp:lastPrinted>
  <dcterms:created xsi:type="dcterms:W3CDTF">2025-05-07T08:15:00Z</dcterms:created>
  <dcterms:modified xsi:type="dcterms:W3CDTF">2025-05-07T08:19:00Z</dcterms:modified>
</cp:coreProperties>
</file>