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4AA38" w14:textId="1DDCECC0" w:rsidR="00FF7F7E" w:rsidRPr="00FF7F7E" w:rsidRDefault="00FF7F7E" w:rsidP="00FF7F7E">
      <w:pPr>
        <w:jc w:val="left"/>
        <w:rPr>
          <w:bCs/>
          <w:iCs/>
          <w:sz w:val="20"/>
        </w:rPr>
      </w:pPr>
      <w:r w:rsidRPr="00FF7F7E">
        <w:rPr>
          <w:bCs/>
          <w:iCs/>
          <w:sz w:val="20"/>
        </w:rPr>
        <w:t>Druk nr 6</w:t>
      </w:r>
      <w:r w:rsidR="00235476">
        <w:rPr>
          <w:bCs/>
          <w:iCs/>
          <w:sz w:val="20"/>
        </w:rPr>
        <w:t>5</w:t>
      </w:r>
      <w:r w:rsidRPr="00FF7F7E">
        <w:rPr>
          <w:bCs/>
          <w:iCs/>
          <w:sz w:val="20"/>
        </w:rPr>
        <w:t>/25                                       Projekt Zarządu Województwa Kujawsko-Pomorskiego z dnia 28 lipca 2025 r.</w:t>
      </w:r>
    </w:p>
    <w:p w14:paraId="34204663" w14:textId="77777777" w:rsidR="00A77B3E" w:rsidRDefault="00A77B3E">
      <w:pPr>
        <w:ind w:left="5669"/>
        <w:jc w:val="left"/>
        <w:rPr>
          <w:b/>
          <w:i/>
          <w:sz w:val="20"/>
          <w:u w:val="thick"/>
        </w:rPr>
      </w:pPr>
    </w:p>
    <w:p w14:paraId="55391C87" w14:textId="77777777" w:rsidR="008522AD" w:rsidRDefault="008522AD">
      <w:pPr>
        <w:ind w:left="5669"/>
        <w:jc w:val="left"/>
      </w:pPr>
    </w:p>
    <w:p w14:paraId="0B085BB6" w14:textId="77777777" w:rsidR="008522AD" w:rsidRDefault="00FF7F7E">
      <w:pPr>
        <w:spacing w:before="120" w:after="120"/>
        <w:ind w:firstLine="227"/>
        <w:jc w:val="center"/>
        <w:rPr>
          <w:color w:val="000000"/>
          <w:u w:color="000000"/>
        </w:rPr>
      </w:pPr>
      <w:r>
        <w:rPr>
          <w:b/>
          <w:caps/>
        </w:rPr>
        <w:t>Uchwała Nr ....................</w:t>
      </w:r>
      <w:r>
        <w:rPr>
          <w:b/>
          <w:caps/>
        </w:rPr>
        <w:br/>
        <w:t>Sejmiku Województwa Kujawsko-Pomorskiego</w:t>
      </w:r>
    </w:p>
    <w:p w14:paraId="5AB30179" w14:textId="77777777" w:rsidR="008522AD" w:rsidRDefault="00FF7F7E">
      <w:pPr>
        <w:spacing w:before="120" w:after="120"/>
        <w:ind w:firstLine="227"/>
        <w:jc w:val="center"/>
        <w:rPr>
          <w:color w:val="000000"/>
          <w:u w:color="000000"/>
        </w:rPr>
      </w:pPr>
      <w:r>
        <w:rPr>
          <w:color w:val="000000"/>
          <w:u w:color="000000"/>
        </w:rPr>
        <w:t>z dnia .............................. 2025 r.</w:t>
      </w:r>
    </w:p>
    <w:p w14:paraId="55B660D4" w14:textId="77777777" w:rsidR="00FF7F7E" w:rsidRDefault="00FF7F7E">
      <w:pPr>
        <w:spacing w:before="120" w:after="120"/>
        <w:ind w:firstLine="227"/>
        <w:jc w:val="center"/>
        <w:rPr>
          <w:color w:val="000000"/>
          <w:u w:color="000000"/>
        </w:rPr>
      </w:pPr>
    </w:p>
    <w:p w14:paraId="204C6D2E" w14:textId="77777777" w:rsidR="008522AD" w:rsidRDefault="00FF7F7E">
      <w:pPr>
        <w:spacing w:before="120" w:after="120"/>
        <w:ind w:firstLine="227"/>
        <w:jc w:val="center"/>
        <w:rPr>
          <w:b/>
          <w:color w:val="000000"/>
          <w:u w:color="000000"/>
        </w:rPr>
      </w:pPr>
      <w:r>
        <w:rPr>
          <w:b/>
          <w:color w:val="000000"/>
          <w:u w:color="000000"/>
        </w:rPr>
        <w:t>zmieniająca uchwałę w sprawie udzielenia pomocy finansowej w formie dotacji celowej dla gmin z przeznaczeniem dla spółek wodnych na dofinansowanie zadań związanych z bieżącym utrzymaniem urządzeń melioracji wodnych w roku 2025</w:t>
      </w:r>
    </w:p>
    <w:p w14:paraId="2E2443FC" w14:textId="77777777" w:rsidR="00FF7F7E" w:rsidRDefault="00FF7F7E">
      <w:pPr>
        <w:spacing w:before="120" w:after="120"/>
        <w:ind w:firstLine="227"/>
        <w:jc w:val="center"/>
        <w:rPr>
          <w:color w:val="000000"/>
          <w:u w:color="000000"/>
        </w:rPr>
      </w:pPr>
    </w:p>
    <w:p w14:paraId="2F05389B" w14:textId="77777777" w:rsidR="008522AD" w:rsidRDefault="00FF7F7E">
      <w:pPr>
        <w:keepLines/>
        <w:spacing w:before="120" w:after="120"/>
        <w:ind w:firstLine="227"/>
        <w:rPr>
          <w:color w:val="000000"/>
          <w:u w:color="000000"/>
        </w:rPr>
      </w:pPr>
      <w:r>
        <w:rPr>
          <w:color w:val="000000"/>
          <w:u w:color="000000"/>
        </w:rPr>
        <w:t>Na podstawie art. 8a ust. 1 ustawy z dnia 5 czerwca 1998 r. o samorządzie województwa (Dz.U z 2025 r., poz. 581) oraz art. 216 ust. 2 pkt 5 i art. 220 ustawy z dnia 27 sierpnia 2009 r. o finansach publicznych (Dz.U. z 2024 r., poz. 1530 z późn. zm.</w:t>
      </w:r>
      <w:r>
        <w:rPr>
          <w:rStyle w:val="Odwoanieprzypisudolnego"/>
          <w:color w:val="000000"/>
          <w:sz w:val="20"/>
          <w:u w:color="000000"/>
        </w:rPr>
        <w:footnoteReference w:customMarkFollows="1" w:id="1"/>
        <w:t>1)</w:t>
      </w:r>
      <w:r>
        <w:rPr>
          <w:color w:val="000000"/>
          <w:u w:color="000000"/>
        </w:rPr>
        <w:t>) uchwala się, co następuje:</w:t>
      </w:r>
    </w:p>
    <w:p w14:paraId="7659634E" w14:textId="77777777" w:rsidR="008522AD" w:rsidRDefault="00FF7F7E">
      <w:pPr>
        <w:keepLines/>
        <w:spacing w:before="120" w:after="120"/>
        <w:ind w:firstLine="340"/>
        <w:rPr>
          <w:color w:val="000000"/>
          <w:u w:color="000000"/>
        </w:rPr>
      </w:pPr>
      <w:r>
        <w:rPr>
          <w:b/>
        </w:rPr>
        <w:t>§ 1. </w:t>
      </w:r>
      <w:r>
        <w:rPr>
          <w:color w:val="000000"/>
          <w:u w:color="000000"/>
        </w:rPr>
        <w:t>W załączniku do uchwały Nr XII/204/25 Sejmiku Województwa Kujawsko-Pomorskiego z dnia 26 maja 2025 r. w sprawie udzielenia pomocy finansowej w formie dotacji celowej dla gmin z przeznaczeniem dla spółek wodnych na dofinansowanie zadań związanych z bieżącym utrzymaniem urządzeń melioracji wodnych w roku 2025, nazwę podmiotu wskazanego pod pozycją nr 65 Gmina Dragacz zastępuję się Gminą Dobrcz.</w:t>
      </w:r>
    </w:p>
    <w:p w14:paraId="5E438EBC" w14:textId="77777777" w:rsidR="008522AD" w:rsidRDefault="00FF7F7E">
      <w:pPr>
        <w:keepLines/>
        <w:spacing w:before="120" w:after="120"/>
        <w:ind w:firstLine="340"/>
        <w:rPr>
          <w:color w:val="000000"/>
          <w:u w:color="000000"/>
        </w:rPr>
      </w:pPr>
      <w:r>
        <w:rPr>
          <w:b/>
        </w:rPr>
        <w:t>§ 2. </w:t>
      </w:r>
      <w:r>
        <w:rPr>
          <w:color w:val="000000"/>
          <w:u w:color="000000"/>
        </w:rPr>
        <w:t>Wykonanie uchwały powierza się Zarządowi Województwa Kujawsko-Pomorskiego.</w:t>
      </w:r>
    </w:p>
    <w:p w14:paraId="62BA1E1D" w14:textId="77777777" w:rsidR="008522AD" w:rsidRDefault="00FF7F7E">
      <w:pPr>
        <w:keepLines/>
        <w:spacing w:before="120" w:after="120"/>
        <w:ind w:firstLine="340"/>
        <w:rPr>
          <w:color w:val="000000"/>
          <w:u w:color="000000"/>
        </w:rPr>
      </w:pPr>
      <w:r>
        <w:rPr>
          <w:b/>
        </w:rPr>
        <w:t>§ 3. </w:t>
      </w:r>
      <w:r>
        <w:rPr>
          <w:color w:val="000000"/>
          <w:u w:color="000000"/>
        </w:rPr>
        <w:t>Uchwała wchodzi w życie z dniem podjęcia.</w:t>
      </w:r>
    </w:p>
    <w:p w14:paraId="60C7B59C" w14:textId="77777777" w:rsidR="00FF7F7E" w:rsidRDefault="00FF7F7E">
      <w:pPr>
        <w:keepLines/>
        <w:spacing w:before="120" w:after="120"/>
        <w:ind w:firstLine="340"/>
        <w:rPr>
          <w:color w:val="000000"/>
          <w:u w:color="000000"/>
        </w:rPr>
        <w:sectPr w:rsidR="00FF7F7E">
          <w:footerReference w:type="default" r:id="rId6"/>
          <w:endnotePr>
            <w:numFmt w:val="decimal"/>
          </w:endnotePr>
          <w:pgSz w:w="11906" w:h="16838"/>
          <w:pgMar w:top="1417" w:right="1020" w:bottom="992" w:left="1020" w:header="708" w:footer="708" w:gutter="0"/>
          <w:cols w:space="708"/>
          <w:docGrid w:linePitch="360"/>
        </w:sectPr>
      </w:pPr>
    </w:p>
    <w:p w14:paraId="688F106A" w14:textId="77777777" w:rsidR="008522AD" w:rsidRDefault="008522AD">
      <w:pPr>
        <w:rPr>
          <w:szCs w:val="20"/>
        </w:rPr>
      </w:pPr>
    </w:p>
    <w:p w14:paraId="53759E2E" w14:textId="77777777" w:rsidR="008522AD" w:rsidRDefault="00FF7F7E">
      <w:pPr>
        <w:jc w:val="center"/>
        <w:rPr>
          <w:szCs w:val="20"/>
        </w:rPr>
      </w:pPr>
      <w:r>
        <w:rPr>
          <w:b/>
          <w:szCs w:val="20"/>
        </w:rPr>
        <w:t>Uzasadnienie</w:t>
      </w:r>
    </w:p>
    <w:p w14:paraId="62422539" w14:textId="77777777" w:rsidR="008522AD" w:rsidRDefault="00FF7F7E">
      <w:pPr>
        <w:spacing w:before="120" w:after="120"/>
        <w:ind w:firstLine="227"/>
        <w:rPr>
          <w:color w:val="000000"/>
          <w:szCs w:val="20"/>
          <w:u w:color="000000"/>
        </w:rPr>
      </w:pPr>
      <w:r>
        <w:rPr>
          <w:szCs w:val="20"/>
        </w:rPr>
        <w:t>1.</w:t>
      </w:r>
      <w:r>
        <w:rPr>
          <w:b/>
          <w:szCs w:val="20"/>
        </w:rPr>
        <w:t>Przedmiot regulacji:</w:t>
      </w:r>
    </w:p>
    <w:p w14:paraId="1E9AE5BC" w14:textId="77777777" w:rsidR="008522AD" w:rsidRDefault="00FF7F7E">
      <w:pPr>
        <w:spacing w:before="120" w:after="120"/>
        <w:ind w:firstLine="227"/>
        <w:rPr>
          <w:color w:val="000000"/>
          <w:szCs w:val="20"/>
          <w:u w:color="000000"/>
        </w:rPr>
      </w:pPr>
      <w:r>
        <w:rPr>
          <w:color w:val="000000"/>
          <w:szCs w:val="20"/>
          <w:u w:color="000000"/>
        </w:rPr>
        <w:t>Zmiana uchwały w celu sprostowania oczywistej omyłki pisarskiej w załączniku pod pozycją nr 65.</w:t>
      </w:r>
    </w:p>
    <w:p w14:paraId="376C1199" w14:textId="77777777" w:rsidR="008522AD" w:rsidRDefault="00FF7F7E">
      <w:pPr>
        <w:spacing w:before="120" w:after="120"/>
        <w:ind w:firstLine="227"/>
        <w:rPr>
          <w:color w:val="000000"/>
          <w:szCs w:val="20"/>
          <w:u w:color="000000"/>
        </w:rPr>
      </w:pPr>
      <w:r>
        <w:rPr>
          <w:color w:val="000000"/>
          <w:szCs w:val="20"/>
          <w:u w:color="000000"/>
        </w:rPr>
        <w:t>2.</w:t>
      </w:r>
      <w:r>
        <w:rPr>
          <w:b/>
          <w:color w:val="000000"/>
          <w:szCs w:val="20"/>
          <w:u w:color="000000"/>
        </w:rPr>
        <w:t>Omówienie podstawy prawnej:</w:t>
      </w:r>
    </w:p>
    <w:p w14:paraId="47EBEC2E" w14:textId="77777777" w:rsidR="008522AD" w:rsidRDefault="00FF7F7E">
      <w:pPr>
        <w:spacing w:before="120" w:after="120"/>
        <w:ind w:firstLine="227"/>
        <w:rPr>
          <w:color w:val="000000"/>
          <w:szCs w:val="20"/>
          <w:u w:color="000000"/>
        </w:rPr>
      </w:pPr>
      <w:r>
        <w:rPr>
          <w:color w:val="000000"/>
          <w:szCs w:val="20"/>
          <w:u w:color="000000"/>
        </w:rPr>
        <w:t>Zgodnie art. 8a ust. 1 ustawy z dnia 5 czerwca 1998 r. o samorządzie województwa (Dz.U z 2025 r., poz. 581 z późn. zm.) województwa mogą sobie wzajemnie bądź innym jednostkom samorządu terytorialnego udzielać pomocy, w tym pomocy finansowej. Natomiast art. 216 ust. 2 pkt 5 ustawy z dnia 27 sierpnia 2009 r. o finansach publicznych (Dz.U. z 2024 r., poz. 1530 z późn. zm.) stanowi, iż wydatki budżetu jednostki samorządu terytorialnego mogą być przeznaczone na realizację zadań dla innych jednostek samorządu terytorialnego, ale muszą być określone odrębną uchwałą przez organ stanowiący jednostki samorządu terytorialnego. Ponadto na podstawie art. 220 ustawy z dnia 27 sierpnia 2009 r. o finansach publicznych (Dz.U. z 2024 r., poz. 1530 z późn. zm.) mówi, że z budżetu jednostki samorządu terytorialnego może być udzielona innym jednostkom samorządu terytorialnego pomoc finansowa w formie dotacji celowej lub pomoc rzeczowa.</w:t>
      </w:r>
    </w:p>
    <w:p w14:paraId="40D07322" w14:textId="77777777" w:rsidR="008522AD" w:rsidRDefault="00FF7F7E">
      <w:pPr>
        <w:spacing w:before="120" w:after="120"/>
        <w:ind w:firstLine="227"/>
        <w:rPr>
          <w:color w:val="000000"/>
          <w:szCs w:val="20"/>
          <w:u w:color="000000"/>
        </w:rPr>
      </w:pPr>
      <w:r>
        <w:rPr>
          <w:color w:val="000000"/>
          <w:szCs w:val="20"/>
          <w:u w:color="000000"/>
        </w:rPr>
        <w:t>3.</w:t>
      </w:r>
      <w:r>
        <w:rPr>
          <w:b/>
          <w:color w:val="000000"/>
          <w:szCs w:val="20"/>
          <w:u w:color="000000"/>
        </w:rPr>
        <w:t>Konsultacje wymagane przepisami prawa (łącznie z przepisami wewnętrznymi):</w:t>
      </w:r>
    </w:p>
    <w:p w14:paraId="17DDB1B3" w14:textId="77777777" w:rsidR="008522AD" w:rsidRDefault="00FF7F7E">
      <w:pPr>
        <w:spacing w:before="120" w:after="120"/>
        <w:ind w:firstLine="227"/>
        <w:rPr>
          <w:color w:val="000000"/>
          <w:szCs w:val="20"/>
          <w:u w:color="000000"/>
        </w:rPr>
      </w:pPr>
      <w:r>
        <w:rPr>
          <w:color w:val="000000"/>
          <w:szCs w:val="20"/>
          <w:u w:color="000000"/>
        </w:rPr>
        <w:t>Nie dotyczy.</w:t>
      </w:r>
    </w:p>
    <w:p w14:paraId="2EF6EB68" w14:textId="77777777" w:rsidR="008522AD" w:rsidRDefault="00FF7F7E">
      <w:pPr>
        <w:spacing w:before="120" w:after="120"/>
        <w:ind w:firstLine="227"/>
        <w:rPr>
          <w:color w:val="000000"/>
          <w:szCs w:val="20"/>
          <w:u w:color="000000"/>
        </w:rPr>
      </w:pPr>
      <w:r>
        <w:rPr>
          <w:color w:val="000000"/>
          <w:szCs w:val="20"/>
          <w:u w:color="000000"/>
        </w:rPr>
        <w:t>4.</w:t>
      </w:r>
      <w:r>
        <w:rPr>
          <w:b/>
          <w:color w:val="000000"/>
          <w:szCs w:val="20"/>
          <w:u w:color="000000"/>
        </w:rPr>
        <w:t xml:space="preserve">Uzasadnienie merytoryczne  </w:t>
      </w:r>
    </w:p>
    <w:p w14:paraId="51B1C448" w14:textId="77777777" w:rsidR="008522AD" w:rsidRDefault="00FF7F7E">
      <w:pPr>
        <w:spacing w:before="120" w:after="120"/>
        <w:ind w:firstLine="227"/>
        <w:rPr>
          <w:color w:val="000000"/>
          <w:szCs w:val="20"/>
          <w:u w:color="000000"/>
        </w:rPr>
      </w:pPr>
      <w:r>
        <w:rPr>
          <w:color w:val="000000"/>
          <w:szCs w:val="20"/>
          <w:u w:color="000000"/>
        </w:rPr>
        <w:t>W załączniku do uchwały Nr XII/204/25 Sejmiku Województwa Kujawsko-Pomorskiego z dnia 26 maja 2025 r. w sprawie udzielenia pomocy finansowej w formie dotacji celowej dla gmin z przeznaczeniem dla spółek wodnych na dofinansowanie zadań związanych z bieżącym utrzymaniem urządzeń melioracji wodnych w roku 2025, nazwę podmiotu pod pozycją nr 65 omyłkowo wpisano Gminę Dragacz, natomiast powinna być wpisana Gmina Dobrcz.</w:t>
      </w:r>
    </w:p>
    <w:p w14:paraId="2BC3CD48" w14:textId="77777777" w:rsidR="008522AD" w:rsidRDefault="00FF7F7E">
      <w:pPr>
        <w:spacing w:before="120" w:after="120"/>
        <w:ind w:firstLine="227"/>
        <w:rPr>
          <w:color w:val="000000"/>
          <w:szCs w:val="20"/>
          <w:u w:color="000000"/>
        </w:rPr>
      </w:pPr>
      <w:r>
        <w:rPr>
          <w:b/>
          <w:color w:val="000000"/>
          <w:szCs w:val="20"/>
          <w:u w:color="000000"/>
        </w:rPr>
        <w:t>5. Ocena skutków regulacji</w:t>
      </w:r>
    </w:p>
    <w:p w14:paraId="11A715CE" w14:textId="77777777" w:rsidR="008522AD" w:rsidRDefault="00FF7F7E">
      <w:pPr>
        <w:spacing w:before="120" w:after="120"/>
        <w:ind w:firstLine="227"/>
        <w:rPr>
          <w:color w:val="000000"/>
          <w:szCs w:val="20"/>
          <w:u w:color="000000"/>
        </w:rPr>
      </w:pPr>
      <w:r>
        <w:rPr>
          <w:color w:val="000000"/>
          <w:szCs w:val="20"/>
          <w:u w:color="000000"/>
        </w:rPr>
        <w:t>Usunięcie oczywistej omyłki pisarskiej.</w:t>
      </w:r>
    </w:p>
    <w:sectPr w:rsidR="008522AD">
      <w:footerReference w:type="default" r:id="rId7"/>
      <w:endnotePr>
        <w:numFmt w:val="decimal"/>
      </w:endnotePr>
      <w:pgSz w:w="11906" w:h="16838"/>
      <w:pgMar w:top="1417" w:right="1020" w:bottom="992"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6FE52" w14:textId="77777777" w:rsidR="00FF7F7E" w:rsidRDefault="00FF7F7E">
      <w:r>
        <w:separator/>
      </w:r>
    </w:p>
  </w:endnote>
  <w:endnote w:type="continuationSeparator" w:id="0">
    <w:p w14:paraId="5B6BFC34" w14:textId="77777777" w:rsidR="00FF7F7E" w:rsidRDefault="00FF7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8522AD" w14:paraId="4A14C9B4" w14:textId="77777777">
      <w:tc>
        <w:tcPr>
          <w:tcW w:w="6577" w:type="dxa"/>
          <w:tcBorders>
            <w:top w:val="nil"/>
            <w:left w:val="nil"/>
            <w:bottom w:val="nil"/>
            <w:right w:val="nil"/>
          </w:tcBorders>
          <w:tcMar>
            <w:top w:w="100" w:type="dxa"/>
          </w:tcMar>
        </w:tcPr>
        <w:p w14:paraId="07DADBD7" w14:textId="77777777" w:rsidR="008522AD" w:rsidRDefault="00FF7F7E">
          <w:pPr>
            <w:jc w:val="left"/>
            <w:rPr>
              <w:sz w:val="18"/>
            </w:rPr>
          </w:pPr>
          <w:r w:rsidRPr="00FF7F7E">
            <w:rPr>
              <w:sz w:val="18"/>
              <w:lang w:val="en-US"/>
            </w:rPr>
            <w:t>Id: 8115128C-F20F-4A7A-B137-6AD754AEAD6C. </w:t>
          </w:r>
          <w:r>
            <w:rPr>
              <w:sz w:val="18"/>
            </w:rPr>
            <w:t>Projekt</w:t>
          </w:r>
        </w:p>
      </w:tc>
      <w:tc>
        <w:tcPr>
          <w:tcW w:w="3289" w:type="dxa"/>
          <w:tcBorders>
            <w:top w:val="nil"/>
            <w:left w:val="nil"/>
            <w:bottom w:val="nil"/>
            <w:right w:val="nil"/>
          </w:tcBorders>
          <w:tcMar>
            <w:top w:w="100" w:type="dxa"/>
          </w:tcMar>
        </w:tcPr>
        <w:p w14:paraId="723082BF" w14:textId="77777777" w:rsidR="008522AD" w:rsidRDefault="00FF7F7E">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1A8AE306" w14:textId="77777777" w:rsidR="008522AD" w:rsidRDefault="008522AD">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8522AD" w14:paraId="1007B901" w14:textId="77777777">
      <w:tc>
        <w:tcPr>
          <w:tcW w:w="6577" w:type="dxa"/>
          <w:tcBorders>
            <w:top w:val="nil"/>
            <w:left w:val="nil"/>
            <w:bottom w:val="nil"/>
            <w:right w:val="nil"/>
          </w:tcBorders>
          <w:tcMar>
            <w:top w:w="100" w:type="dxa"/>
          </w:tcMar>
        </w:tcPr>
        <w:p w14:paraId="311C7274" w14:textId="77777777" w:rsidR="008522AD" w:rsidRDefault="00FF7F7E">
          <w:pPr>
            <w:jc w:val="left"/>
            <w:rPr>
              <w:sz w:val="18"/>
            </w:rPr>
          </w:pPr>
          <w:r w:rsidRPr="00FF7F7E">
            <w:rPr>
              <w:sz w:val="18"/>
              <w:lang w:val="en-US"/>
            </w:rPr>
            <w:t>Id: 8115128C-F20F-4A7A-B137-6AD754AEAD6C. </w:t>
          </w:r>
          <w:r>
            <w:rPr>
              <w:sz w:val="18"/>
            </w:rPr>
            <w:t>Projekt</w:t>
          </w:r>
        </w:p>
      </w:tc>
      <w:tc>
        <w:tcPr>
          <w:tcW w:w="3289" w:type="dxa"/>
          <w:tcBorders>
            <w:top w:val="nil"/>
            <w:left w:val="nil"/>
            <w:bottom w:val="nil"/>
            <w:right w:val="nil"/>
          </w:tcBorders>
          <w:tcMar>
            <w:top w:w="100" w:type="dxa"/>
          </w:tcMar>
        </w:tcPr>
        <w:p w14:paraId="2B5FA9F4" w14:textId="77777777" w:rsidR="008522AD" w:rsidRDefault="00FF7F7E">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2</w:t>
          </w:r>
          <w:r>
            <w:rPr>
              <w:sz w:val="18"/>
            </w:rPr>
            <w:fldChar w:fldCharType="end"/>
          </w:r>
        </w:p>
      </w:tc>
    </w:tr>
  </w:tbl>
  <w:p w14:paraId="13511A28" w14:textId="77777777" w:rsidR="008522AD" w:rsidRDefault="008522A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BDE96" w14:textId="77777777" w:rsidR="008522AD" w:rsidRDefault="00FF7F7E">
      <w:r>
        <w:separator/>
      </w:r>
    </w:p>
  </w:footnote>
  <w:footnote w:type="continuationSeparator" w:id="0">
    <w:p w14:paraId="517CD075" w14:textId="77777777" w:rsidR="008522AD" w:rsidRDefault="00FF7F7E">
      <w:r>
        <w:continuationSeparator/>
      </w:r>
    </w:p>
  </w:footnote>
  <w:footnote w:id="1">
    <w:p w14:paraId="4B92CC6B" w14:textId="77777777" w:rsidR="008522AD" w:rsidRDefault="00FF7F7E">
      <w:pPr>
        <w:pStyle w:val="Tekstprzypisudolnego"/>
        <w:keepLines/>
        <w:ind w:left="170" w:hanging="170"/>
      </w:pPr>
      <w:r>
        <w:rPr>
          <w:rStyle w:val="Odwoanieprzypisudolnego"/>
        </w:rPr>
        <w:t>1) </w:t>
      </w:r>
      <w:r>
        <w:t>Zmiany tekstu jednolitego wymienionej ustawy zostały ogłoszone w Dz. U. z 2024 r. poz. 1572, 1717, 1756, 1907 oraz z 2025 r. poz. 39.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35476"/>
    <w:rsid w:val="008522AD"/>
    <w:rsid w:val="00921292"/>
    <w:rsid w:val="00A77B3E"/>
    <w:rsid w:val="00B60A51"/>
    <w:rsid w:val="00CA2A55"/>
    <w:rsid w:val="00FF7F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C8291"/>
  <w15:docId w15:val="{8DF0ED1E-4937-4EDB-94CE-A8C41726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basedOn w:val="Domylnaczcionkaakapitu"/>
    <w:rsid w:val="00805BCE"/>
    <w:rPr>
      <w:vertAlign w:val="superscript"/>
    </w:rPr>
  </w:style>
  <w:style w:type="paragraph" w:styleId="Tekstprzypisudolnego">
    <w:name w:val="footnote text"/>
    <w:basedOn w:val="Normalny"/>
    <w:rsid w:val="00805BC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85418">
      <w:bodyDiv w:val="1"/>
      <w:marLeft w:val="0"/>
      <w:marRight w:val="0"/>
      <w:marTop w:val="0"/>
      <w:marBottom w:val="0"/>
      <w:divBdr>
        <w:top w:val="none" w:sz="0" w:space="0" w:color="auto"/>
        <w:left w:val="none" w:sz="0" w:space="0" w:color="auto"/>
        <w:bottom w:val="none" w:sz="0" w:space="0" w:color="auto"/>
        <w:right w:val="none" w:sz="0" w:space="0" w:color="auto"/>
      </w:divBdr>
    </w:div>
    <w:div w:id="1895968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Sejmik Województwa Kujawsko-Pomorskiego</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zmieniająca uchwałę w^sprawie udzielenia pomocy finansowej w^formie dotacji celowej dla gmin z^przeznaczeniem dla spółek wodnych na dofinansowanie zadań związanych z^bieżącym utrzymaniem urządzeń melioracji wodnych w^roku 2025</dc:subject>
  <dc:creator>p.wojcik</dc:creator>
  <cp:lastModifiedBy>Paulina Wójcik-Popielarczyk</cp:lastModifiedBy>
  <cp:revision>3</cp:revision>
  <dcterms:created xsi:type="dcterms:W3CDTF">2025-07-30T09:39:00Z</dcterms:created>
  <dcterms:modified xsi:type="dcterms:W3CDTF">2025-07-30T09:39:00Z</dcterms:modified>
  <cp:category>Akt prawny</cp:category>
</cp:coreProperties>
</file>