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DB68" w14:textId="39B71FC7" w:rsidR="002F3468" w:rsidRPr="001C4303" w:rsidRDefault="002F3468" w:rsidP="002F3468">
      <w:pPr>
        <w:rPr>
          <w:rFonts w:ascii="Calibri" w:hAnsi="Calibri" w:cs="Calibri"/>
          <w:b/>
          <w:bCs/>
          <w:sz w:val="32"/>
          <w:szCs w:val="32"/>
        </w:rPr>
      </w:pPr>
      <w:r w:rsidRPr="001C4303">
        <w:rPr>
          <w:rFonts w:ascii="Calibri" w:hAnsi="Calibri" w:cs="Calibri"/>
          <w:b/>
          <w:bCs/>
          <w:sz w:val="32"/>
          <w:szCs w:val="32"/>
        </w:rPr>
        <w:t>Good practice:</w:t>
      </w:r>
      <w:r w:rsidRPr="001C4303">
        <w:rPr>
          <w:rFonts w:ascii="Calibri" w:hAnsi="Calibri" w:cs="Calibri"/>
        </w:rPr>
        <w:t xml:space="preserve"> </w:t>
      </w:r>
      <w:r w:rsidR="008D0410" w:rsidRPr="001C4303">
        <w:rPr>
          <w:rFonts w:ascii="Calibri" w:hAnsi="Calibri" w:cs="Calibri"/>
          <w:b/>
          <w:bCs/>
          <w:sz w:val="32"/>
          <w:szCs w:val="32"/>
        </w:rPr>
        <w:t>EEC PROVERE “Queijos do Centro de Portugal” (Collective Efficiency Strategy – PROVERE)</w:t>
      </w:r>
    </w:p>
    <w:p w14:paraId="7513DAA2" w14:textId="4B62286A" w:rsidR="002F3468" w:rsidRPr="001C4303" w:rsidRDefault="002F3468" w:rsidP="002F3468">
      <w:pPr>
        <w:rPr>
          <w:rFonts w:ascii="Calibri" w:hAnsi="Calibri" w:cs="Calibri"/>
          <w:b/>
          <w:bCs/>
          <w:sz w:val="28"/>
          <w:szCs w:val="28"/>
        </w:rPr>
      </w:pPr>
      <w:r w:rsidRPr="001C4303">
        <w:rPr>
          <w:rFonts w:ascii="Calibri" w:hAnsi="Calibri" w:cs="Calibri"/>
          <w:b/>
          <w:bCs/>
          <w:sz w:val="28"/>
          <w:szCs w:val="28"/>
        </w:rPr>
        <w:t>About this good practice</w:t>
      </w:r>
    </w:p>
    <w:p w14:paraId="72FB5A90" w14:textId="633215F9" w:rsidR="008D0410" w:rsidRPr="001C4303" w:rsidRDefault="008D0410" w:rsidP="007B293C">
      <w:pPr>
        <w:rPr>
          <w:rFonts w:ascii="Calibri" w:hAnsi="Calibri" w:cs="Calibri"/>
        </w:rPr>
      </w:pPr>
      <w:r w:rsidRPr="001C4303">
        <w:rPr>
          <w:rFonts w:ascii="Calibri" w:hAnsi="Calibri" w:cs="Calibri"/>
        </w:rPr>
        <w:t>The EEC PROVERE “Queijos do Centro de Portugal” is a collective efficiency strategy to improve the sustainability and competitiveness of traditional certified cheeses (PDO Serra da Estrela, Beira Baixa and Rabaçal) in Portugal’s Centro Region (36 municipalities). It addresses policy-relevant challenges in rural areas: ageing, depopulation, fragile local economies, weak value-chain coordination, limited innovation uptake and low market diversification, which reduce capacity to invest in sustainability and resilience.</w:t>
      </w:r>
      <w:r w:rsidRPr="001C4303">
        <w:rPr>
          <w:rFonts w:ascii="Calibri" w:hAnsi="Calibri" w:cs="Calibri"/>
        </w:rPr>
        <w:br/>
        <w:t>The practice is implemented through a participatory, integrated Action Plan (5 anchor projects, 31 activities) combining innovation and technology intermediation, capacity-building for shepherds and cheesemakers, governance strengthening, territorial valorisation, branding and market-facing actions to create incentives for sustainable, high-quality products.</w:t>
      </w:r>
      <w:r w:rsidRPr="001C4303">
        <w:rPr>
          <w:rFonts w:ascii="Calibri" w:hAnsi="Calibri" w:cs="Calibri"/>
        </w:rPr>
        <w:br/>
        <w:t>Implementation is led by a multi-actor consortium coordinated by InovCluster, with formal governance and executive coordination for delivery and monitoring. Main beneficiaries are agri-food SMEs and value-chain operators (milk producers, pastoral communities, PDO cheesemakers and cooperatives), plus municipalities/intermunicipal bodies and knowledge, R&amp;D and training organisations.</w:t>
      </w:r>
    </w:p>
    <w:p w14:paraId="37510469" w14:textId="43FEE366" w:rsidR="002F3468" w:rsidRPr="001C4303" w:rsidRDefault="002F3468" w:rsidP="002F3468">
      <w:pPr>
        <w:rPr>
          <w:rFonts w:ascii="Calibri" w:hAnsi="Calibri" w:cs="Calibri"/>
          <w:b/>
          <w:bCs/>
          <w:sz w:val="28"/>
          <w:szCs w:val="28"/>
        </w:rPr>
      </w:pPr>
      <w:r w:rsidRPr="001C4303">
        <w:rPr>
          <w:rFonts w:ascii="Calibri" w:hAnsi="Calibri" w:cs="Calibri"/>
          <w:b/>
          <w:bCs/>
          <w:sz w:val="28"/>
          <w:szCs w:val="28"/>
        </w:rPr>
        <w:t>Resources needed</w:t>
      </w:r>
    </w:p>
    <w:p w14:paraId="1A4DFF34" w14:textId="77777777" w:rsidR="008D0410" w:rsidRPr="001C4303" w:rsidRDefault="008D0410" w:rsidP="002F3468">
      <w:pPr>
        <w:rPr>
          <w:rFonts w:ascii="Calibri" w:hAnsi="Calibri" w:cs="Calibri"/>
        </w:rPr>
      </w:pPr>
      <w:r w:rsidRPr="001C4303">
        <w:rPr>
          <w:rFonts w:ascii="Calibri" w:hAnsi="Calibri" w:cs="Calibri"/>
        </w:rPr>
        <w:t>Approx. €2.59M total eligible investment (c. €2.25M public funding), plus a dedicated executive coordination team (technical + administrative support), consortium governance bodies, and specialised external services for monitoring/evaluation, communication/design, and accounting/audit support.</w:t>
      </w:r>
    </w:p>
    <w:p w14:paraId="0F391738" w14:textId="65842A0C" w:rsidR="002F3468" w:rsidRPr="001C4303" w:rsidRDefault="002F3468" w:rsidP="002F3468">
      <w:pPr>
        <w:rPr>
          <w:rFonts w:ascii="Calibri" w:hAnsi="Calibri" w:cs="Calibri"/>
          <w:b/>
          <w:bCs/>
          <w:sz w:val="28"/>
          <w:szCs w:val="28"/>
        </w:rPr>
      </w:pPr>
      <w:r w:rsidRPr="001C4303">
        <w:rPr>
          <w:rFonts w:ascii="Calibri" w:hAnsi="Calibri" w:cs="Calibri"/>
          <w:b/>
          <w:bCs/>
          <w:sz w:val="28"/>
          <w:szCs w:val="28"/>
        </w:rPr>
        <w:t>Evidence of success</w:t>
      </w:r>
    </w:p>
    <w:p w14:paraId="5834C104" w14:textId="77777777" w:rsidR="008D0410" w:rsidRPr="001C4303" w:rsidRDefault="008D0410" w:rsidP="006F6E12">
      <w:pPr>
        <w:rPr>
          <w:rFonts w:ascii="Calibri" w:hAnsi="Calibri" w:cs="Calibri"/>
        </w:rPr>
      </w:pPr>
      <w:r w:rsidRPr="001C4303">
        <w:rPr>
          <w:rFonts w:ascii="Calibri" w:hAnsi="Calibri" w:cs="Calibri"/>
        </w:rPr>
        <w:t>It's already delivering tangible results in 2025–2026: governance and executive coordination are operational; implementation and monitoring structures are active; and market-facing actions have been launched, including the “PROVE Vinho &amp; Queijo” event (June 2025), promoting PDO cheeses and consumer awareness. Programme targets include 10 companies supported, 18 stakeholders, 609,372 people reached, 3 intermunicipal projects, 9 institutions involved, and 7 jobs created</w:t>
      </w:r>
    </w:p>
    <w:p w14:paraId="59009D7F" w14:textId="1D68CAB2" w:rsidR="00B14CAE" w:rsidRPr="001C4303" w:rsidRDefault="002F3468" w:rsidP="006F6E12">
      <w:pPr>
        <w:rPr>
          <w:rFonts w:ascii="Calibri" w:hAnsi="Calibri" w:cs="Calibri"/>
        </w:rPr>
      </w:pPr>
      <w:r w:rsidRPr="001C4303">
        <w:rPr>
          <w:rFonts w:ascii="Calibri" w:hAnsi="Calibri" w:cs="Calibri"/>
          <w:b/>
          <w:bCs/>
          <w:sz w:val="28"/>
          <w:szCs w:val="28"/>
        </w:rPr>
        <w:t>Potential for learning or transfer</w:t>
      </w:r>
      <w:r w:rsidR="006F6E12" w:rsidRPr="001C4303">
        <w:rPr>
          <w:rFonts w:ascii="Calibri" w:hAnsi="Calibri" w:cs="Calibri"/>
        </w:rPr>
        <w:t xml:space="preserve"> </w:t>
      </w:r>
    </w:p>
    <w:p w14:paraId="7E621CDE" w14:textId="77777777" w:rsidR="008D0410" w:rsidRPr="001C4303" w:rsidRDefault="008D0410" w:rsidP="008D0410">
      <w:pPr>
        <w:rPr>
          <w:rFonts w:ascii="Calibri" w:hAnsi="Calibri" w:cs="Calibri"/>
        </w:rPr>
      </w:pPr>
      <w:r w:rsidRPr="001C4303">
        <w:rPr>
          <w:rFonts w:ascii="Calibri" w:hAnsi="Calibri" w:cs="Calibri"/>
        </w:rPr>
        <w:t xml:space="preserve">This practice has high transfer potential because it combines a structured value-chain Action Plan (anchor projects + activities), multi-actor governance, and participatory co-creation to implement sustainability and competitiveness objectives in a coordinated way. It is especially valuable for regions with traditional agri-food products and rural territories facing fragmentation, low innovation uptake and weak market coordination. Key transfer factors are: (i) a territorially rooted product/value chain; (ii) a committed consortium of public, private and knowledge actors; (iii) clear </w:t>
      </w:r>
      <w:r w:rsidRPr="001C4303">
        <w:rPr>
          <w:rFonts w:ascii="Calibri" w:hAnsi="Calibri" w:cs="Calibri"/>
        </w:rPr>
        <w:lastRenderedPageBreak/>
        <w:t>executive coordination and monitoring arrangements; and (iv) a practical mix of sustainability measures, capacity-building and market-facing actions. The method (diagnostic, co-design, governance, implementation monitoring) is replicable even if the product differs, because the core added value lies in coordinated policy delivery and stakeholder mobilisation at territorial level.</w:t>
      </w:r>
    </w:p>
    <w:p w14:paraId="56FC0C1D" w14:textId="47352AD3" w:rsidR="006F6E12" w:rsidRPr="001C4303" w:rsidRDefault="006F6E12" w:rsidP="006F6E12">
      <w:pPr>
        <w:rPr>
          <w:rFonts w:ascii="Calibri" w:hAnsi="Calibri" w:cs="Calibri"/>
          <w:b/>
          <w:bCs/>
          <w:sz w:val="28"/>
          <w:szCs w:val="28"/>
          <w:lang w:val="fi-FI"/>
        </w:rPr>
      </w:pPr>
      <w:r w:rsidRPr="001C4303">
        <w:rPr>
          <w:rFonts w:ascii="Calibri" w:hAnsi="Calibri" w:cs="Calibri"/>
          <w:b/>
          <w:bCs/>
          <w:sz w:val="28"/>
          <w:szCs w:val="28"/>
          <w:lang w:val="fi-FI"/>
        </w:rPr>
        <w:t>Further information</w:t>
      </w:r>
    </w:p>
    <w:p w14:paraId="37112527" w14:textId="28B06189" w:rsidR="005D3037" w:rsidRPr="001C4303" w:rsidRDefault="008D0410" w:rsidP="002F3468">
      <w:pPr>
        <w:rPr>
          <w:rFonts w:ascii="Calibri" w:hAnsi="Calibri" w:cs="Calibri"/>
          <w:b/>
          <w:bCs/>
          <w:lang w:val="fi-FI"/>
        </w:rPr>
      </w:pPr>
      <w:hyperlink r:id="rId9" w:history="1">
        <w:r w:rsidRPr="001C4303">
          <w:rPr>
            <w:rStyle w:val="Hipercze"/>
            <w:rFonts w:ascii="Calibri" w:hAnsi="Calibri" w:cs="Calibri"/>
            <w:lang w:val="fi-FI"/>
          </w:rPr>
          <w:t>https://www.inovcluster.pt/projetos/projetos-em-curso/eec-provere-queijos-centro-de-portugal/</w:t>
        </w:r>
      </w:hyperlink>
      <w:r w:rsidRPr="001C4303">
        <w:rPr>
          <w:rFonts w:ascii="Calibri" w:hAnsi="Calibri" w:cs="Calibri"/>
          <w:lang w:val="fi-FI"/>
        </w:rPr>
        <w:t xml:space="preserve"> </w:t>
      </w:r>
    </w:p>
    <w:sectPr w:rsidR="005D3037" w:rsidRPr="001C4303">
      <w:head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6348D" w14:textId="77777777" w:rsidR="00CA77CF" w:rsidRDefault="00CA77CF" w:rsidP="00CA77CF">
      <w:pPr>
        <w:spacing w:after="0" w:line="240" w:lineRule="auto"/>
      </w:pPr>
      <w:r>
        <w:separator/>
      </w:r>
    </w:p>
  </w:endnote>
  <w:endnote w:type="continuationSeparator" w:id="0">
    <w:p w14:paraId="6C36ECBC" w14:textId="77777777" w:rsidR="00CA77CF" w:rsidRDefault="00CA77CF" w:rsidP="00CA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6EAE1" w14:textId="77777777" w:rsidR="00CA77CF" w:rsidRDefault="00CA77CF" w:rsidP="00CA77CF">
      <w:pPr>
        <w:spacing w:after="0" w:line="240" w:lineRule="auto"/>
      </w:pPr>
      <w:r>
        <w:separator/>
      </w:r>
    </w:p>
  </w:footnote>
  <w:footnote w:type="continuationSeparator" w:id="0">
    <w:p w14:paraId="5AD95294" w14:textId="77777777" w:rsidR="00CA77CF" w:rsidRDefault="00CA77CF" w:rsidP="00CA7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4539A" w14:textId="75C869C5" w:rsidR="00CA77CF" w:rsidRPr="008D0410" w:rsidRDefault="008D0410" w:rsidP="008D0410">
    <w:pPr>
      <w:pStyle w:val="Nagwek"/>
    </w:pPr>
    <w:r w:rsidRPr="008D0410">
      <w:t>Agroindustrial Cluster Association of the Centre Region of Portugal (InovCluster)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68"/>
    <w:rsid w:val="000259AB"/>
    <w:rsid w:val="00035089"/>
    <w:rsid w:val="00042E8F"/>
    <w:rsid w:val="000519B3"/>
    <w:rsid w:val="000578B8"/>
    <w:rsid w:val="00070D92"/>
    <w:rsid w:val="00074A3B"/>
    <w:rsid w:val="00082216"/>
    <w:rsid w:val="000836B0"/>
    <w:rsid w:val="000B6262"/>
    <w:rsid w:val="000E2D2F"/>
    <w:rsid w:val="000F097A"/>
    <w:rsid w:val="000F7EFB"/>
    <w:rsid w:val="001066A6"/>
    <w:rsid w:val="00112D1D"/>
    <w:rsid w:val="00123173"/>
    <w:rsid w:val="001634E9"/>
    <w:rsid w:val="00172C56"/>
    <w:rsid w:val="00174055"/>
    <w:rsid w:val="00176CE3"/>
    <w:rsid w:val="00177045"/>
    <w:rsid w:val="0019092C"/>
    <w:rsid w:val="001C25AA"/>
    <w:rsid w:val="001C4303"/>
    <w:rsid w:val="001D2E6E"/>
    <w:rsid w:val="001D7656"/>
    <w:rsid w:val="001E1F1F"/>
    <w:rsid w:val="001F70B2"/>
    <w:rsid w:val="00203E8A"/>
    <w:rsid w:val="00215E8C"/>
    <w:rsid w:val="00227BB9"/>
    <w:rsid w:val="00231623"/>
    <w:rsid w:val="00261085"/>
    <w:rsid w:val="0026156E"/>
    <w:rsid w:val="0026220F"/>
    <w:rsid w:val="00277C31"/>
    <w:rsid w:val="00284421"/>
    <w:rsid w:val="002A1D69"/>
    <w:rsid w:val="002C3B1D"/>
    <w:rsid w:val="002D715D"/>
    <w:rsid w:val="002F319F"/>
    <w:rsid w:val="002F33BA"/>
    <w:rsid w:val="002F3468"/>
    <w:rsid w:val="00306B4F"/>
    <w:rsid w:val="0032584B"/>
    <w:rsid w:val="00350D4D"/>
    <w:rsid w:val="003838FD"/>
    <w:rsid w:val="00390DC9"/>
    <w:rsid w:val="003A0B70"/>
    <w:rsid w:val="003A5365"/>
    <w:rsid w:val="003C4EC2"/>
    <w:rsid w:val="003C6661"/>
    <w:rsid w:val="003C7C93"/>
    <w:rsid w:val="003D5752"/>
    <w:rsid w:val="003F1E99"/>
    <w:rsid w:val="003F27E2"/>
    <w:rsid w:val="00432203"/>
    <w:rsid w:val="004807B7"/>
    <w:rsid w:val="004849CD"/>
    <w:rsid w:val="00486B48"/>
    <w:rsid w:val="00487BE6"/>
    <w:rsid w:val="0049099F"/>
    <w:rsid w:val="004A0142"/>
    <w:rsid w:val="004A071D"/>
    <w:rsid w:val="004A379A"/>
    <w:rsid w:val="004B397A"/>
    <w:rsid w:val="004B4347"/>
    <w:rsid w:val="004D6CED"/>
    <w:rsid w:val="004E68B3"/>
    <w:rsid w:val="005301D8"/>
    <w:rsid w:val="0053312B"/>
    <w:rsid w:val="00542428"/>
    <w:rsid w:val="00545FA5"/>
    <w:rsid w:val="00546B39"/>
    <w:rsid w:val="00547073"/>
    <w:rsid w:val="00556CB1"/>
    <w:rsid w:val="005575FC"/>
    <w:rsid w:val="0056622F"/>
    <w:rsid w:val="0056759C"/>
    <w:rsid w:val="00573D93"/>
    <w:rsid w:val="0059722C"/>
    <w:rsid w:val="005C4B72"/>
    <w:rsid w:val="005D3037"/>
    <w:rsid w:val="005F4CD5"/>
    <w:rsid w:val="00605749"/>
    <w:rsid w:val="00606BFA"/>
    <w:rsid w:val="00614C10"/>
    <w:rsid w:val="006176D7"/>
    <w:rsid w:val="0062265A"/>
    <w:rsid w:val="00630C90"/>
    <w:rsid w:val="0064385A"/>
    <w:rsid w:val="006445B4"/>
    <w:rsid w:val="006460EF"/>
    <w:rsid w:val="00663352"/>
    <w:rsid w:val="0068191E"/>
    <w:rsid w:val="00683885"/>
    <w:rsid w:val="00686803"/>
    <w:rsid w:val="00697354"/>
    <w:rsid w:val="006A6E72"/>
    <w:rsid w:val="006C1795"/>
    <w:rsid w:val="006C3829"/>
    <w:rsid w:val="006D0C1E"/>
    <w:rsid w:val="006D7609"/>
    <w:rsid w:val="006F3D87"/>
    <w:rsid w:val="006F6E12"/>
    <w:rsid w:val="0071545E"/>
    <w:rsid w:val="00716AD3"/>
    <w:rsid w:val="00745E4B"/>
    <w:rsid w:val="00757AB6"/>
    <w:rsid w:val="00760386"/>
    <w:rsid w:val="00762021"/>
    <w:rsid w:val="007653E5"/>
    <w:rsid w:val="00767527"/>
    <w:rsid w:val="00767BCE"/>
    <w:rsid w:val="007732F4"/>
    <w:rsid w:val="007835AF"/>
    <w:rsid w:val="00783C72"/>
    <w:rsid w:val="00783F50"/>
    <w:rsid w:val="007A745A"/>
    <w:rsid w:val="007B293C"/>
    <w:rsid w:val="007C7F47"/>
    <w:rsid w:val="007D081C"/>
    <w:rsid w:val="007F3EA4"/>
    <w:rsid w:val="007F6906"/>
    <w:rsid w:val="00807A03"/>
    <w:rsid w:val="008208A6"/>
    <w:rsid w:val="00820C35"/>
    <w:rsid w:val="00820CE4"/>
    <w:rsid w:val="00825C93"/>
    <w:rsid w:val="00835132"/>
    <w:rsid w:val="00837775"/>
    <w:rsid w:val="00852D4C"/>
    <w:rsid w:val="00880E07"/>
    <w:rsid w:val="008836A0"/>
    <w:rsid w:val="008A4DAD"/>
    <w:rsid w:val="008B0D1A"/>
    <w:rsid w:val="008B5D99"/>
    <w:rsid w:val="008D0410"/>
    <w:rsid w:val="008D11DF"/>
    <w:rsid w:val="008D25FB"/>
    <w:rsid w:val="008F40E2"/>
    <w:rsid w:val="00900CB4"/>
    <w:rsid w:val="0091124E"/>
    <w:rsid w:val="00922543"/>
    <w:rsid w:val="00927751"/>
    <w:rsid w:val="00930EBE"/>
    <w:rsid w:val="00940C01"/>
    <w:rsid w:val="009419DD"/>
    <w:rsid w:val="00945DD5"/>
    <w:rsid w:val="009875E8"/>
    <w:rsid w:val="0099530E"/>
    <w:rsid w:val="009B3C7A"/>
    <w:rsid w:val="009C6D14"/>
    <w:rsid w:val="009D2943"/>
    <w:rsid w:val="009D4CD7"/>
    <w:rsid w:val="009E03E0"/>
    <w:rsid w:val="009E06BE"/>
    <w:rsid w:val="009E4F31"/>
    <w:rsid w:val="009F1E09"/>
    <w:rsid w:val="00A065CA"/>
    <w:rsid w:val="00A07F96"/>
    <w:rsid w:val="00A237E0"/>
    <w:rsid w:val="00A4005F"/>
    <w:rsid w:val="00A65FB8"/>
    <w:rsid w:val="00A74DE4"/>
    <w:rsid w:val="00A91174"/>
    <w:rsid w:val="00AE08B1"/>
    <w:rsid w:val="00B14CAE"/>
    <w:rsid w:val="00B15C79"/>
    <w:rsid w:val="00B2134A"/>
    <w:rsid w:val="00B26B22"/>
    <w:rsid w:val="00B61378"/>
    <w:rsid w:val="00B62315"/>
    <w:rsid w:val="00B81972"/>
    <w:rsid w:val="00BC3D9B"/>
    <w:rsid w:val="00BC4997"/>
    <w:rsid w:val="00BD33F7"/>
    <w:rsid w:val="00BE338E"/>
    <w:rsid w:val="00BE672E"/>
    <w:rsid w:val="00C21957"/>
    <w:rsid w:val="00C25B5B"/>
    <w:rsid w:val="00C33C45"/>
    <w:rsid w:val="00C34373"/>
    <w:rsid w:val="00C40E12"/>
    <w:rsid w:val="00C47192"/>
    <w:rsid w:val="00C7133A"/>
    <w:rsid w:val="00C71A5C"/>
    <w:rsid w:val="00C74958"/>
    <w:rsid w:val="00C90BF7"/>
    <w:rsid w:val="00CA77CF"/>
    <w:rsid w:val="00CE44C9"/>
    <w:rsid w:val="00CE684E"/>
    <w:rsid w:val="00D70AAE"/>
    <w:rsid w:val="00D749A1"/>
    <w:rsid w:val="00D81D3D"/>
    <w:rsid w:val="00D877D1"/>
    <w:rsid w:val="00DA2E25"/>
    <w:rsid w:val="00DE5381"/>
    <w:rsid w:val="00DF5265"/>
    <w:rsid w:val="00E301CA"/>
    <w:rsid w:val="00E35854"/>
    <w:rsid w:val="00E371E8"/>
    <w:rsid w:val="00E41A2E"/>
    <w:rsid w:val="00E5496D"/>
    <w:rsid w:val="00E62CD3"/>
    <w:rsid w:val="00E74567"/>
    <w:rsid w:val="00E858CA"/>
    <w:rsid w:val="00E91E2C"/>
    <w:rsid w:val="00EC68A7"/>
    <w:rsid w:val="00ED1C55"/>
    <w:rsid w:val="00ED2214"/>
    <w:rsid w:val="00EE1436"/>
    <w:rsid w:val="00EF27FA"/>
    <w:rsid w:val="00EF48E9"/>
    <w:rsid w:val="00F019B5"/>
    <w:rsid w:val="00F30DA7"/>
    <w:rsid w:val="00F4072C"/>
    <w:rsid w:val="00F54E9B"/>
    <w:rsid w:val="00F6730D"/>
    <w:rsid w:val="00F72121"/>
    <w:rsid w:val="00F93DD4"/>
    <w:rsid w:val="00FF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D15CB8"/>
  <w15:chartTrackingRefBased/>
  <w15:docId w15:val="{0EFD82C9-8D42-400D-87C1-8A35D94B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3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3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3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3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3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3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3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3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3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346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346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346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346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3468"/>
    <w:rPr>
      <w:rFonts w:eastAsiaTheme="majorEastAsia" w:cstheme="majorBidi"/>
      <w:color w:val="0F4761" w:themeColor="accent1" w:themeShade="BF"/>
      <w:lang w:val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346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3468"/>
    <w:rPr>
      <w:rFonts w:eastAsiaTheme="majorEastAsia" w:cstheme="majorBidi"/>
      <w:color w:val="595959" w:themeColor="text1" w:themeTint="A6"/>
      <w:lang w:val="en-GB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346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3468"/>
    <w:rPr>
      <w:rFonts w:eastAsiaTheme="majorEastAsia" w:cstheme="majorBidi"/>
      <w:color w:val="272727" w:themeColor="text1" w:themeTint="D8"/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2F3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346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3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346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2F3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3468"/>
    <w:rPr>
      <w:i/>
      <w:iCs/>
      <w:color w:val="404040" w:themeColor="text1" w:themeTint="BF"/>
      <w:lang w:val="en-GB"/>
    </w:rPr>
  </w:style>
  <w:style w:type="paragraph" w:styleId="Akapitzlist">
    <w:name w:val="List Paragraph"/>
    <w:basedOn w:val="Normalny"/>
    <w:uiPriority w:val="34"/>
    <w:qFormat/>
    <w:rsid w:val="002F34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34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3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3468"/>
    <w:rPr>
      <w:i/>
      <w:iCs/>
      <w:color w:val="0F4761" w:themeColor="accent1" w:themeShade="BF"/>
      <w:lang w:val="en-GB"/>
    </w:rPr>
  </w:style>
  <w:style w:type="character" w:styleId="Odwoanieintensywne">
    <w:name w:val="Intense Reference"/>
    <w:basedOn w:val="Domylnaczcionkaakapitu"/>
    <w:uiPriority w:val="32"/>
    <w:qFormat/>
    <w:rsid w:val="002F346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3D8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D8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84421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77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7CF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A77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7C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inovcluster.pt/projetos/projetos-em-curso/eec-provere-queijos-centro-de-portugal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A97958E68FD8F49A7CE08F30B8F8BC3" ma:contentTypeVersion="13" ma:contentTypeDescription="Luo uusi asiakirja." ma:contentTypeScope="" ma:versionID="9917e274e55cb96b0aecd1ed22017148">
  <xsd:schema xmlns:xsd="http://www.w3.org/2001/XMLSchema" xmlns:xs="http://www.w3.org/2001/XMLSchema" xmlns:p="http://schemas.microsoft.com/office/2006/metadata/properties" xmlns:ns2="0ce7a294-dd09-4e1c-a8a8-aff47b8a0a5e" xmlns:ns3="c1465d16-7fba-4a3e-b301-efc64aac7319" targetNamespace="http://schemas.microsoft.com/office/2006/metadata/properties" ma:root="true" ma:fieldsID="730e03cf56233a3f3260acd41d14c7b0" ns2:_="" ns3:_="">
    <xsd:import namespace="0ce7a294-dd09-4e1c-a8a8-aff47b8a0a5e"/>
    <xsd:import namespace="c1465d16-7fba-4a3e-b301-efc64aac731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7a294-dd09-4e1c-a8a8-aff47b8a0a5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dee7e63c-c458-4581-80ab-305026165b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65d16-7fba-4a3e-b301-efc64aac731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e565dfe-e06c-415c-afdb-13a16f7a6b7a}" ma:internalName="TaxCatchAll" ma:showField="CatchAllData" ma:web="c1465d16-7fba-4a3e-b301-efc64aac73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e7a294-dd09-4e1c-a8a8-aff47b8a0a5e">
      <Terms xmlns="http://schemas.microsoft.com/office/infopath/2007/PartnerControls"/>
    </lcf76f155ced4ddcb4097134ff3c332f>
    <TaxCatchAll xmlns="c1465d16-7fba-4a3e-b301-efc64aac7319" xsi:nil="true"/>
  </documentManagement>
</p:properties>
</file>

<file path=customXml/itemProps1.xml><?xml version="1.0" encoding="utf-8"?>
<ds:datastoreItem xmlns:ds="http://schemas.openxmlformats.org/officeDocument/2006/customXml" ds:itemID="{DE4B9E27-1BE1-4BDD-B248-4ED3FE1A2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7a294-dd09-4e1c-a8a8-aff47b8a0a5e"/>
    <ds:schemaRef ds:uri="c1465d16-7fba-4a3e-b301-efc64aac7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E7EA61-4D12-41B7-9B7B-C59215ED16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AB70B-5E22-46D7-9A40-FD47D4790BD9}">
  <ds:schemaRefs>
    <ds:schemaRef ds:uri="http://schemas.microsoft.com/office/2006/metadata/properties"/>
    <ds:schemaRef ds:uri="http://schemas.microsoft.com/office/infopath/2007/PartnerControls"/>
    <ds:schemaRef ds:uri="23808fd1-0ddb-4228-b5c5-ee42cb3a82cc"/>
    <ds:schemaRef ds:uri="99eb7308-4343-464c-956b-1cec1549b2fe"/>
    <ds:schemaRef ds:uri="0ce7a294-dd09-4e1c-a8a8-aff47b8a0a5e"/>
    <ds:schemaRef ds:uri="c1465d16-7fba-4a3e-b301-efc64aac73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Puro Helena (ELY)</dc:creator>
  <cp:keywords/>
  <dc:description/>
  <cp:lastModifiedBy>Małgorzata Kruk-Szarszewska</cp:lastModifiedBy>
  <cp:revision>3</cp:revision>
  <dcterms:created xsi:type="dcterms:W3CDTF">2026-08-18T13:48:00Z</dcterms:created>
  <dcterms:modified xsi:type="dcterms:W3CDTF">2026-08-18T14:17:00Z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0x010100BA97958E68FD8F49A7CE08F30B8F8BC3</vt:lpwstr>
  </property>
  <property fmtid="{D5CDD505-2E9C-101B-9397-08002B2CF9AE}" pid="3" name="MediaServiceImageTags">
    <vt:lpwstr/>
  </property>
</Properties>
</file>